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E67A1" w14:textId="1659F3DA" w:rsidR="009E1023" w:rsidRPr="009E1023" w:rsidRDefault="009E1023" w:rsidP="009E1023">
      <w:pPr>
        <w:pStyle w:val="OZNPROJEKTUwskazaniedatylubwersjiprojektu"/>
        <w:keepNext/>
        <w:rPr>
          <w:b/>
          <w:bCs/>
          <w:i/>
          <w:iCs/>
          <w:u w:val="none"/>
        </w:rPr>
      </w:pPr>
      <w:r w:rsidRPr="009E1023">
        <w:rPr>
          <w:b/>
          <w:bCs/>
          <w:i/>
          <w:iCs/>
          <w:u w:val="none"/>
        </w:rPr>
        <w:t>Projekt</w:t>
      </w:r>
    </w:p>
    <w:p w14:paraId="7DEA913B" w14:textId="77777777" w:rsidR="009E1023" w:rsidRDefault="009E1023" w:rsidP="009E1023">
      <w:pPr>
        <w:pStyle w:val="OZNRODZAKTUtznustawalubrozporzdzenieiorganwydajcy"/>
      </w:pPr>
    </w:p>
    <w:p w14:paraId="2AD28D7B" w14:textId="77777777" w:rsidR="009E1023" w:rsidRPr="003342FD" w:rsidRDefault="009E1023" w:rsidP="009E1023">
      <w:pPr>
        <w:pStyle w:val="OZNRODZAKTUtznustawalubrozporzdzenieiorganwydajcy"/>
      </w:pPr>
      <w:r w:rsidRPr="007E3FC7">
        <w:t>Ustawa</w:t>
      </w:r>
    </w:p>
    <w:p w14:paraId="6A8A63B3" w14:textId="77777777" w:rsidR="009E1023" w:rsidRPr="007E3FC7" w:rsidRDefault="009E1023" w:rsidP="009E1023">
      <w:pPr>
        <w:pStyle w:val="DATAAKTUdatauchwalenialubwydaniaaktu"/>
      </w:pPr>
      <w:r w:rsidRPr="007E3FC7">
        <w:t>z dnia ……….</w:t>
      </w:r>
      <w:r>
        <w:t xml:space="preserve"> 2026r.</w:t>
      </w:r>
    </w:p>
    <w:p w14:paraId="5A1FB6D2" w14:textId="77777777" w:rsidR="009E1023" w:rsidRPr="000D16F3" w:rsidRDefault="009E1023" w:rsidP="009E1023">
      <w:pPr>
        <w:pStyle w:val="TYTUAKTUprzedmiotregulacjiustawylubrozporzdzenia"/>
      </w:pPr>
      <w:r w:rsidRPr="00EE1214">
        <w:t xml:space="preserve">o zmianie </w:t>
      </w:r>
      <w:r>
        <w:t xml:space="preserve">ustawy </w:t>
      </w:r>
      <w:r w:rsidRPr="000B70DF">
        <w:t>–</w:t>
      </w:r>
      <w:r>
        <w:t xml:space="preserve"> o pomocy społecznej</w:t>
      </w:r>
    </w:p>
    <w:p w14:paraId="0DB58C9B" w14:textId="77777777" w:rsidR="009E1023" w:rsidRDefault="009E1023" w:rsidP="009E1023">
      <w:pPr>
        <w:pStyle w:val="USTustnpkodeksu"/>
      </w:pPr>
      <w:r>
        <w:rPr>
          <w:rStyle w:val="Ppogrubienie"/>
        </w:rPr>
        <w:t xml:space="preserve">Art. 1. </w:t>
      </w:r>
      <w:r>
        <w:t>W</w:t>
      </w:r>
      <w:r w:rsidRPr="00825DD0">
        <w:t xml:space="preserve"> ustawie </w:t>
      </w:r>
      <w:r>
        <w:t xml:space="preserve">z dnia 12 marca 2004 r. </w:t>
      </w:r>
      <w:r w:rsidRPr="00825DD0">
        <w:t xml:space="preserve">– </w:t>
      </w:r>
      <w:r>
        <w:t xml:space="preserve"> o pomocy społecznej </w:t>
      </w:r>
      <w:r w:rsidRPr="00825DD0">
        <w:t>(</w:t>
      </w:r>
      <w:proofErr w:type="spellStart"/>
      <w:r w:rsidRPr="009A6BC5">
        <w:t>t.j</w:t>
      </w:r>
      <w:proofErr w:type="spellEnd"/>
      <w:r w:rsidRPr="009A6BC5">
        <w:t xml:space="preserve">. Dz. U. z 2025 r. poz. 1214 z </w:t>
      </w:r>
      <w:proofErr w:type="spellStart"/>
      <w:r w:rsidRPr="009A6BC5">
        <w:t>późn</w:t>
      </w:r>
      <w:proofErr w:type="spellEnd"/>
      <w:r w:rsidRPr="009A6BC5">
        <w:t>. zm.</w:t>
      </w:r>
      <w:r>
        <w:t>) wprowadza się następujące zmiany:</w:t>
      </w:r>
    </w:p>
    <w:p w14:paraId="08DFC285" w14:textId="77777777" w:rsidR="009E1023" w:rsidRPr="00825DD0" w:rsidRDefault="009E1023" w:rsidP="009E1023">
      <w:pPr>
        <w:pStyle w:val="PKTpunkt"/>
      </w:pPr>
      <w:r>
        <w:t>1)</w:t>
      </w:r>
      <w:r>
        <w:tab/>
        <w:t>w art. 61 po ust. 1 dodaje się ust. 1a w brzmieniu:</w:t>
      </w:r>
    </w:p>
    <w:p w14:paraId="0B36223D" w14:textId="77777777" w:rsidR="009E1023" w:rsidRDefault="009E1023" w:rsidP="009E1023">
      <w:pPr>
        <w:pStyle w:val="ZPKTwODNONIKUzmpktwzmienianymodnonikuartykuempunktem"/>
      </w:pPr>
      <w:r>
        <w:t xml:space="preserve">„1a. Małoletni zstępni nie są obowiązani do wnoszenia </w:t>
      </w:r>
      <w:r w:rsidRPr="003B493B">
        <w:t xml:space="preserve">opłaty za pobyt </w:t>
      </w:r>
      <w:r>
        <w:t xml:space="preserve">mieszkańca domu </w:t>
      </w:r>
      <w:r w:rsidRPr="003B493B">
        <w:t>w domu pomocy społecznej</w:t>
      </w:r>
      <w:r>
        <w:t>.".</w:t>
      </w:r>
    </w:p>
    <w:p w14:paraId="36CC414C" w14:textId="77777777" w:rsidR="009E1023" w:rsidRPr="00FF1502" w:rsidRDefault="009E1023" w:rsidP="009E1023">
      <w:pPr>
        <w:pStyle w:val="ARTartustawynprozporzdzenia"/>
      </w:pPr>
      <w:r w:rsidRPr="007F5AE5">
        <w:rPr>
          <w:rStyle w:val="Ppogrubienie"/>
        </w:rPr>
        <w:t>Art.</w:t>
      </w:r>
      <w:r>
        <w:rPr>
          <w:rStyle w:val="Ppogrubienie"/>
        </w:rPr>
        <w:t xml:space="preserve"> 2</w:t>
      </w:r>
      <w:r w:rsidRPr="007F5AE5">
        <w:rPr>
          <w:rStyle w:val="Ppogrubienie"/>
        </w:rPr>
        <w:t>.</w:t>
      </w:r>
      <w:r>
        <w:t xml:space="preserve"> </w:t>
      </w:r>
      <w:r w:rsidRPr="00FF1502">
        <w:t xml:space="preserve">Ustawa wchodzi w życie po upływie </w:t>
      </w:r>
      <w:r>
        <w:t>3 miesięcy</w:t>
      </w:r>
      <w:r w:rsidRPr="00FF1502">
        <w:t xml:space="preserve"> od dnia ogłoszenia.</w:t>
      </w:r>
    </w:p>
    <w:p w14:paraId="54F1D0DB" w14:textId="77777777" w:rsidR="009E1023" w:rsidRDefault="009E1023" w:rsidP="009E1023">
      <w:pPr>
        <w:pStyle w:val="ZARTzmartartykuempunktem"/>
      </w:pPr>
    </w:p>
    <w:p w14:paraId="5BE65000" w14:textId="77777777" w:rsidR="009E1023" w:rsidRDefault="009E1023" w:rsidP="009E1023">
      <w:pPr>
        <w:pStyle w:val="ZARTzmartartykuempunktem"/>
      </w:pPr>
    </w:p>
    <w:p w14:paraId="2D98062A" w14:textId="77777777" w:rsidR="009E1023" w:rsidRDefault="009E1023" w:rsidP="009E1023">
      <w:pPr>
        <w:pStyle w:val="ZARTzmartartykuempunktem"/>
      </w:pPr>
    </w:p>
    <w:p w14:paraId="3C313DE5" w14:textId="77777777" w:rsidR="009E1023" w:rsidRDefault="009E1023" w:rsidP="009E1023">
      <w:pPr>
        <w:pStyle w:val="ZARTzmartartykuempunktem"/>
      </w:pPr>
    </w:p>
    <w:p w14:paraId="48203C5A" w14:textId="77777777" w:rsidR="009E1023" w:rsidRDefault="009E1023" w:rsidP="009E1023">
      <w:pPr>
        <w:pStyle w:val="ZARTzmartartykuempunktem"/>
      </w:pPr>
    </w:p>
    <w:p w14:paraId="17B83173" w14:textId="77777777" w:rsidR="009E1023" w:rsidRDefault="009E1023" w:rsidP="009E1023">
      <w:pPr>
        <w:pStyle w:val="ZARTzmartartykuempunktem"/>
      </w:pPr>
    </w:p>
    <w:p w14:paraId="104DB9B5" w14:textId="77777777" w:rsidR="009E1023" w:rsidRDefault="009E1023" w:rsidP="009E1023">
      <w:pPr>
        <w:pStyle w:val="ZARTzmartartykuempunktem"/>
      </w:pPr>
    </w:p>
    <w:p w14:paraId="10DA1FAF" w14:textId="77777777" w:rsidR="009E1023" w:rsidRDefault="009E1023" w:rsidP="009E1023">
      <w:pPr>
        <w:pStyle w:val="ZARTzmartartykuempunktem"/>
      </w:pPr>
    </w:p>
    <w:p w14:paraId="1AFE48A1" w14:textId="77777777" w:rsidR="009E1023" w:rsidRDefault="009E1023" w:rsidP="009E1023">
      <w:pPr>
        <w:pStyle w:val="ZARTzmartartykuempunktem"/>
      </w:pPr>
    </w:p>
    <w:p w14:paraId="283509FA" w14:textId="77777777" w:rsidR="009E1023" w:rsidRPr="006774F7" w:rsidRDefault="009E1023" w:rsidP="009E1023">
      <w:pPr>
        <w:pStyle w:val="ZARTzmartartykuempunktem"/>
      </w:pPr>
    </w:p>
    <w:p w14:paraId="15CC8C39" w14:textId="77777777" w:rsidR="009E1023" w:rsidRDefault="009E1023" w:rsidP="009E1023">
      <w:pPr>
        <w:pStyle w:val="TYTDZOZNoznaczenietytuulubdziau"/>
        <w:rPr>
          <w:rStyle w:val="Ppogrubienie"/>
        </w:rPr>
      </w:pPr>
      <w:r>
        <w:rPr>
          <w:rStyle w:val="Ppogrubienie"/>
        </w:rPr>
        <w:br/>
      </w:r>
      <w:r>
        <w:rPr>
          <w:rStyle w:val="Ppogrubienie"/>
        </w:rPr>
        <w:br/>
      </w:r>
      <w:r>
        <w:rPr>
          <w:rStyle w:val="Ppogrubienie"/>
        </w:rPr>
        <w:br/>
      </w:r>
      <w:r>
        <w:rPr>
          <w:rStyle w:val="Ppogrubienie"/>
        </w:rPr>
        <w:br/>
      </w:r>
    </w:p>
    <w:p w14:paraId="785A6C21" w14:textId="77777777" w:rsidR="009E1023" w:rsidRDefault="009E1023" w:rsidP="009E1023">
      <w:pPr>
        <w:rPr>
          <w:lang w:eastAsia="pl-PL"/>
        </w:rPr>
      </w:pPr>
    </w:p>
    <w:p w14:paraId="6C23A372" w14:textId="77777777" w:rsidR="009E1023" w:rsidRDefault="009E1023" w:rsidP="009E1023">
      <w:pPr>
        <w:rPr>
          <w:lang w:eastAsia="pl-PL"/>
        </w:rPr>
      </w:pPr>
    </w:p>
    <w:p w14:paraId="3B607653" w14:textId="77777777" w:rsidR="009E1023" w:rsidRDefault="009E1023" w:rsidP="009E1023">
      <w:pPr>
        <w:rPr>
          <w:lang w:eastAsia="pl-PL"/>
        </w:rPr>
      </w:pPr>
    </w:p>
    <w:p w14:paraId="10DFD1CE" w14:textId="77777777" w:rsidR="009E1023" w:rsidRPr="009E1023" w:rsidRDefault="009E1023" w:rsidP="009E1023">
      <w:pPr>
        <w:rPr>
          <w:lang w:eastAsia="pl-PL"/>
        </w:rPr>
      </w:pPr>
    </w:p>
    <w:p w14:paraId="632C165C" w14:textId="77777777" w:rsidR="009E1023" w:rsidRDefault="009E1023" w:rsidP="009E1023">
      <w:pPr>
        <w:rPr>
          <w:lang w:eastAsia="pl-PL"/>
        </w:rPr>
      </w:pPr>
    </w:p>
    <w:p w14:paraId="2D62B558" w14:textId="77777777" w:rsidR="009E1023" w:rsidRPr="000C188E" w:rsidRDefault="009E1023" w:rsidP="009E1023">
      <w:pPr>
        <w:rPr>
          <w:lang w:eastAsia="pl-PL"/>
        </w:rPr>
      </w:pPr>
    </w:p>
    <w:p w14:paraId="3ED3B65A" w14:textId="77777777" w:rsidR="009E1023" w:rsidRPr="007F5AE5" w:rsidRDefault="009E1023" w:rsidP="009E1023">
      <w:pPr>
        <w:pStyle w:val="TYTDZOZNoznaczenietytuulubdziau"/>
        <w:rPr>
          <w:rStyle w:val="Ppogrubienie"/>
        </w:rPr>
      </w:pPr>
      <w:r w:rsidRPr="007F5AE5">
        <w:rPr>
          <w:rStyle w:val="Ppogrubienie"/>
        </w:rPr>
        <w:lastRenderedPageBreak/>
        <w:t>UZASADNIENIE</w:t>
      </w:r>
    </w:p>
    <w:p w14:paraId="5B077C2D" w14:textId="77777777" w:rsidR="009E1023" w:rsidRDefault="009E1023" w:rsidP="009E1023">
      <w:pPr>
        <w:pStyle w:val="NIEARTTEKSTtekstnieartykuowanynppodstprawnarozplubpreambua"/>
      </w:pPr>
      <w:r>
        <w:t xml:space="preserve">Art. 72 ust. 1 </w:t>
      </w:r>
      <w:r w:rsidRPr="00867676">
        <w:t>Konstytucj</w:t>
      </w:r>
      <w:r>
        <w:t>a</w:t>
      </w:r>
      <w:r w:rsidRPr="00867676">
        <w:t xml:space="preserve"> Rzeczypospolitej Polskiej </w:t>
      </w:r>
      <w:r>
        <w:t xml:space="preserve">w sposób szczególny chroni dzieci, nakładając obowiązek zabezpieczenia sytuacji osób najmłodszych </w:t>
      </w:r>
      <w:r w:rsidRPr="00AA5CA2">
        <w:t>przed przemocą, okrucieństwem, wyzyskiem i demoralizacją</w:t>
      </w:r>
      <w:r>
        <w:t xml:space="preserve">. Uregulowanie pozycji dzieci w porządku prawnym wymaga każdorazowej weryfikacji czy z uwagi na ich szczególną sytuację wynikająca z braku wystarczającej dojrzałości, braku doświadczenia życiowego - w sposób właściwy zabezpieczone jest ich dobro i bezpieczeństwo. Celem projektowanego aktu prawnego jest zmiana regulacji prawnych zawartych w ustawie </w:t>
      </w:r>
      <w:r w:rsidRPr="00AA5CA2">
        <w:t xml:space="preserve">z dnia 12 marca 2004 r. o pomocy społecznej (dalej jako </w:t>
      </w:r>
      <w:proofErr w:type="spellStart"/>
      <w:r w:rsidRPr="00AA5CA2">
        <w:t>u.p.s</w:t>
      </w:r>
      <w:proofErr w:type="spellEnd"/>
      <w:r w:rsidRPr="00AA5CA2">
        <w:t>.),</w:t>
      </w:r>
      <w:r>
        <w:t xml:space="preserve"> poprzez wykluczenie sytuacji, w których na osoby małoletnie nakładane są obowiązki majątkowe na równi z osobami dorosłymi. </w:t>
      </w:r>
    </w:p>
    <w:p w14:paraId="4933B040" w14:textId="77777777" w:rsidR="009E1023" w:rsidRPr="005A76AD" w:rsidRDefault="009E1023" w:rsidP="009E1023">
      <w:pPr>
        <w:pStyle w:val="NIEARTTEKSTtekstnieartykuowanynppodstprawnarozplubpreambua"/>
      </w:pPr>
      <w:r>
        <w:t>A</w:t>
      </w:r>
      <w:r w:rsidRPr="00867676">
        <w:t>rt. 6</w:t>
      </w:r>
      <w:r>
        <w:t xml:space="preserve">1 ust. 1 </w:t>
      </w:r>
      <w:proofErr w:type="spellStart"/>
      <w:r>
        <w:t>u.p.s</w:t>
      </w:r>
      <w:proofErr w:type="spellEnd"/>
      <w:r>
        <w:t>.</w:t>
      </w:r>
      <w:r w:rsidRPr="00867676">
        <w:t xml:space="preserve"> </w:t>
      </w:r>
      <w:r>
        <w:t xml:space="preserve">wymienia katalog osób zobowiązanych </w:t>
      </w:r>
      <w:r w:rsidRPr="005A76AD">
        <w:t>do wnoszenia opłaty za pobyt mieszkańca domu w domu pomocy społecznej</w:t>
      </w:r>
      <w:r>
        <w:t xml:space="preserve">. </w:t>
      </w:r>
      <w:r w:rsidRPr="00867676">
        <w:t xml:space="preserve">Zgodnie z art. 61 ust. 1 </w:t>
      </w:r>
      <w:proofErr w:type="spellStart"/>
      <w:r w:rsidRPr="00867676">
        <w:t>u.p.s</w:t>
      </w:r>
      <w:proofErr w:type="spellEnd"/>
      <w:r w:rsidRPr="00867676">
        <w:t xml:space="preserve">. </w:t>
      </w:r>
      <w:r>
        <w:t>o</w:t>
      </w:r>
      <w:r w:rsidRPr="005A76AD">
        <w:t>bowiązani do wnoszenia opłaty za pobyt w domu pomocy społecznej są w kolejności:</w:t>
      </w:r>
    </w:p>
    <w:p w14:paraId="5EFD6249" w14:textId="77777777" w:rsidR="009E1023" w:rsidRPr="005A76AD" w:rsidRDefault="009E1023" w:rsidP="009E1023">
      <w:pPr>
        <w:pStyle w:val="NIEARTTEKSTtekstnieartykuowanynppodstprawnarozplubpreambua"/>
      </w:pPr>
      <w:r w:rsidRPr="005A76AD">
        <w:t>1)</w:t>
      </w:r>
      <w:r w:rsidRPr="005A76AD">
        <w:tab/>
        <w:t xml:space="preserve"> mieszkaniec domu, a w przypadku osób małoletnich przedstawiciel ustawowy z dochodów dziecka,</w:t>
      </w:r>
    </w:p>
    <w:p w14:paraId="39B07EF5" w14:textId="77777777" w:rsidR="009E1023" w:rsidRPr="005A76AD" w:rsidRDefault="009E1023" w:rsidP="009E1023">
      <w:pPr>
        <w:pStyle w:val="NIEARTTEKSTtekstnieartykuowanynppodstprawnarozplubpreambua"/>
      </w:pPr>
      <w:r w:rsidRPr="005A76AD">
        <w:t>2)</w:t>
      </w:r>
      <w:r w:rsidRPr="005A76AD">
        <w:tab/>
        <w:t xml:space="preserve"> małżonek, zstępni przed wstępnymi,</w:t>
      </w:r>
    </w:p>
    <w:p w14:paraId="4303612F" w14:textId="77777777" w:rsidR="009E1023" w:rsidRPr="005A76AD" w:rsidRDefault="009E1023" w:rsidP="009E1023">
      <w:pPr>
        <w:pStyle w:val="NIEARTTEKSTtekstnieartykuowanynppodstprawnarozplubpreambua"/>
      </w:pPr>
      <w:r w:rsidRPr="005A76AD">
        <w:t>3)</w:t>
      </w:r>
      <w:r w:rsidRPr="005A76AD">
        <w:tab/>
        <w:t xml:space="preserve"> gmina, z której osoba została skierowana do domu pomocy społecznej</w:t>
      </w:r>
    </w:p>
    <w:p w14:paraId="73B41C4A" w14:textId="77777777" w:rsidR="009E1023" w:rsidRDefault="009E1023" w:rsidP="009E1023">
      <w:pPr>
        <w:pStyle w:val="NIEARTTEKSTtekstnieartykuowanynppodstprawnarozplubpreambua"/>
      </w:pPr>
      <w:r w:rsidRPr="005A76AD">
        <w:t>- przy czym osoby i gmina określone w pkt 2 i 3 nie mają obowiązku wnoszenia opłat, jeżeli mieszkaniec domu ponosi pełną odpłatność.</w:t>
      </w:r>
    </w:p>
    <w:p w14:paraId="5FAE4961" w14:textId="77777777" w:rsidR="009E1023" w:rsidRDefault="009E1023" w:rsidP="009E1023">
      <w:pPr>
        <w:pStyle w:val="ARTartustawynprozporzdzenia"/>
      </w:pPr>
      <w:r>
        <w:t xml:space="preserve">Z ww. regulacji prawnej wynika, że w pierwszej kolejności </w:t>
      </w:r>
      <w:r w:rsidRPr="002A4DDB">
        <w:t xml:space="preserve">koszty pobytu w </w:t>
      </w:r>
      <w:r>
        <w:t>domu pomocy społecznej</w:t>
      </w:r>
      <w:r w:rsidRPr="002A4DDB">
        <w:t xml:space="preserve"> pokrywa mieszkaniec, a w przypadku osób małoletnich – przedstawiciel ustawowy z dochodów dziecka. </w:t>
      </w:r>
      <w:r>
        <w:t xml:space="preserve">Jeżeli mieszkaniec nie jest w stanie uiścić opłat, to zobowiązanie to obciąża kolejno </w:t>
      </w:r>
      <w:r w:rsidRPr="002A4DDB">
        <w:t>małżonka, zstępnych, wstępnych</w:t>
      </w:r>
      <w:r>
        <w:t xml:space="preserve"> a w ostatniej kolejności gminę</w:t>
      </w:r>
      <w:r w:rsidRPr="002A4DDB">
        <w:t xml:space="preserve">, z której osoba została skierowana do domu pomocy społecznej. </w:t>
      </w:r>
    </w:p>
    <w:p w14:paraId="3C41E9E0" w14:textId="77777777" w:rsidR="009E1023" w:rsidRDefault="009E1023" w:rsidP="009E1023">
      <w:pPr>
        <w:pStyle w:val="ARTartustawynprozporzdzenia"/>
      </w:pPr>
      <w:r>
        <w:t xml:space="preserve">Art. 61 ust. 1 </w:t>
      </w:r>
      <w:proofErr w:type="spellStart"/>
      <w:r>
        <w:t>u.s.p</w:t>
      </w:r>
      <w:proofErr w:type="spellEnd"/>
      <w:r>
        <w:t xml:space="preserve">. jasno wskazuje, że osobą zobowiązaną do wnoszenia </w:t>
      </w:r>
      <w:r w:rsidRPr="003B493B">
        <w:t xml:space="preserve">opłaty za pobyt </w:t>
      </w:r>
      <w:r>
        <w:t xml:space="preserve">mieszkańca domu </w:t>
      </w:r>
      <w:r w:rsidRPr="003B493B">
        <w:t>w domu pomocy społecznej</w:t>
      </w:r>
      <w:r>
        <w:t xml:space="preserve"> są także zstępne osoby małoletnie. Co istotne obowiązek zstępnych osób małoletnich jest uregulowany w taki sam sposób jak obowiązek zstępnych osób dorosłych. </w:t>
      </w:r>
    </w:p>
    <w:p w14:paraId="47B615D5" w14:textId="77777777" w:rsidR="009E1023" w:rsidRDefault="009E1023" w:rsidP="009E1023">
      <w:pPr>
        <w:pStyle w:val="ARTartustawynprozporzdzenia"/>
      </w:pPr>
      <w:r>
        <w:t>Oznacza to więc, że osoby małoletnie nie posiadają żadnej, szczególnej ochrony a na mocy ww. regulacji prawnych został nałożone na nie poważne zobowiązanie o charakterze majątkowym powodujące, że mimo małoletności mogą one zostać osobami zadłużonymi.</w:t>
      </w:r>
    </w:p>
    <w:p w14:paraId="2F7075F4" w14:textId="77777777" w:rsidR="009E1023" w:rsidRDefault="009E1023" w:rsidP="009E1023">
      <w:pPr>
        <w:pStyle w:val="ARTartustawynprozporzdzenia"/>
      </w:pPr>
      <w:r>
        <w:t xml:space="preserve">Zstępne osoby małoletnie mogą więc pokrywać koszty pobytu w domy pomocy społecznej krewnych, z którymi mogą ich nie łączyć żadne więzi emocjonalne. Tak jak zostało </w:t>
      </w:r>
      <w:r>
        <w:lastRenderedPageBreak/>
        <w:t xml:space="preserve">wskazane bowiem w wyroku </w:t>
      </w:r>
      <w:r w:rsidRPr="000C610E">
        <w:t>Wojewódzkiego Sądu Administracyjnego we Wrocławiu</w:t>
      </w:r>
      <w:r>
        <w:t xml:space="preserve"> </w:t>
      </w:r>
      <w:r w:rsidRPr="000C610E">
        <w:t>z dnia 22 marca 2022 r.</w:t>
      </w:r>
      <w:r>
        <w:t xml:space="preserve">, sygn. akt </w:t>
      </w:r>
      <w:r w:rsidRPr="000C610E">
        <w:t>IV SA/</w:t>
      </w:r>
      <w:proofErr w:type="spellStart"/>
      <w:r w:rsidRPr="000C610E">
        <w:t>Wr</w:t>
      </w:r>
      <w:proofErr w:type="spellEnd"/>
      <w:r w:rsidRPr="000C610E">
        <w:t xml:space="preserve"> 542/21</w:t>
      </w:r>
      <w:r>
        <w:t>, u</w:t>
      </w:r>
      <w:r w:rsidRPr="000C610E">
        <w:t xml:space="preserve">stawodawca nie uzależnił obowiązku odpłatności od osobistych stosunków osoby zobowiązanej i mieszkańca domu pomocy. Zatem negatywny stosunek </w:t>
      </w:r>
      <w:r>
        <w:t xml:space="preserve">osoby zobowiązanej, czy brak relacji z mieszkańcem domu pomocy społecznej nie ma </w:t>
      </w:r>
      <w:r w:rsidRPr="000C610E">
        <w:t>wpływu na samo powstanie obowiązku wnoszenia opłat.</w:t>
      </w:r>
    </w:p>
    <w:p w14:paraId="0869E8DC" w14:textId="77777777" w:rsidR="009E1023" w:rsidRDefault="009E1023" w:rsidP="009E1023">
      <w:pPr>
        <w:pStyle w:val="ARTartustawynprozporzdzenia"/>
      </w:pPr>
      <w:r>
        <w:t xml:space="preserve">Sytuacji osób małoletnich nie poprawia także art. 64 </w:t>
      </w:r>
      <w:proofErr w:type="spellStart"/>
      <w:r>
        <w:t>u.s.p</w:t>
      </w:r>
      <w:proofErr w:type="spellEnd"/>
      <w:r>
        <w:t xml:space="preserve">. oraz art. 64a </w:t>
      </w:r>
      <w:proofErr w:type="spellStart"/>
      <w:r>
        <w:t>u.s.p</w:t>
      </w:r>
      <w:proofErr w:type="spellEnd"/>
      <w:r>
        <w:t xml:space="preserve">., które regulują problematykę zwolnienia opłat za pobyt, gdyż decyzję te mają charakter uznaniowy i nie gwarantują, że dziecko nie zostanie obciążone zobowiązaniem majątkowym. </w:t>
      </w:r>
    </w:p>
    <w:p w14:paraId="621703E1" w14:textId="77777777" w:rsidR="009E1023" w:rsidRDefault="009E1023" w:rsidP="009E1023">
      <w:pPr>
        <w:pStyle w:val="ARTartustawynprozporzdzenia"/>
      </w:pPr>
      <w:r>
        <w:t xml:space="preserve">Analiza powyższych przepisów wskazuję, że obecne regulacje prawne nie gwarantują należytej ochrony dzieci i bezpodstawnie nakładają na osoby małoletnie zobowiązania majątkowe. Projektowana regulacja prawna zakłada nowelizację </w:t>
      </w:r>
      <w:proofErr w:type="spellStart"/>
      <w:r>
        <w:t>u.s.p</w:t>
      </w:r>
      <w:proofErr w:type="spellEnd"/>
      <w:r>
        <w:t>. poprzez dodanie ust. 1a do art. 61w brzmieniu, w którym jednoznacznie wskazuje się, że  m</w:t>
      </w:r>
      <w:r w:rsidRPr="00DD5D7A">
        <w:t>ałoletni zstępni nie są obowiązani do wnoszenia opłaty za pobyt mieszkańca domu w domu pomocy społecznej</w:t>
      </w:r>
      <w:r>
        <w:t xml:space="preserve">. Proponowana zmiana prawna będzie gwarantować, że wobec zstępnych osób małoletnich nie powstanie żadne zobowiązanie o charakterze majątkowym związane z pokrywaniem opłat za pobyt mieszkańca w domy pomocy społecznej. </w:t>
      </w:r>
    </w:p>
    <w:p w14:paraId="27FCC547" w14:textId="77777777" w:rsidR="009E1023" w:rsidRDefault="009E1023" w:rsidP="009E1023">
      <w:pPr>
        <w:pStyle w:val="NIEARTTEKSTtekstnieartykuowanynppodstprawnarozplubpreambua"/>
      </w:pPr>
      <w:r w:rsidRPr="002E6C04">
        <w:t xml:space="preserve">Przewiduje się, że projektowana ustawa wejdzie w życie po upływie </w:t>
      </w:r>
      <w:r>
        <w:t>3 miesięcy</w:t>
      </w:r>
      <w:r w:rsidRPr="002E6C04">
        <w:t xml:space="preserve"> od dnia ogłoszenia.</w:t>
      </w:r>
    </w:p>
    <w:p w14:paraId="2728F5E8" w14:textId="77777777" w:rsidR="009E1023" w:rsidRPr="00524965" w:rsidRDefault="009E1023" w:rsidP="009E1023">
      <w:pPr>
        <w:pStyle w:val="ARTartustawynprozporzdzenia"/>
      </w:pPr>
      <w:r w:rsidRPr="00524965">
        <w:t>Projektowana regulacja nie jest sprzeczna z zakresem prawa Unii Europejskiej.</w:t>
      </w:r>
    </w:p>
    <w:p w14:paraId="696E9933" w14:textId="77777777" w:rsidR="009E1023" w:rsidRPr="00524965" w:rsidRDefault="009E1023" w:rsidP="009E1023">
      <w:pPr>
        <w:pStyle w:val="ARTartustawynprozporzdzenia"/>
      </w:pPr>
      <w:r w:rsidRPr="00524965">
        <w:t>Projekt nie wymaga przedstawienia właściwym organom i instytucjom Unii Europejskiej, w tym Europejskiemu Bankowi Centralnemu, w celu uzyskania opinii, dokonania powiadomienia, konsultacji albo uzgodnienia.</w:t>
      </w:r>
    </w:p>
    <w:p w14:paraId="52F82426" w14:textId="77777777" w:rsidR="009E1023" w:rsidRPr="00524965" w:rsidRDefault="009E1023" w:rsidP="009E1023">
      <w:pPr>
        <w:pStyle w:val="ARTartustawynprozporzdzenia"/>
      </w:pPr>
      <w:r w:rsidRPr="00524965">
        <w:t>Projekt nie zawiera przepisów technicznych, zatem nie podlega procedurze notyfikacji zgodnie z trybem przewidzianym w rozporządzeniu Rady Ministrów z dnia 23 grudnia 2002 r. w sprawie sposobu funkcjonowania krajowego systemu notyfikacji norm i aktów prawnych (Dz. U. poz. 2039, z </w:t>
      </w:r>
      <w:proofErr w:type="spellStart"/>
      <w:r w:rsidRPr="00524965">
        <w:t>późn</w:t>
      </w:r>
      <w:proofErr w:type="spellEnd"/>
      <w:r w:rsidRPr="00524965">
        <w:t>. zm.).</w:t>
      </w:r>
    </w:p>
    <w:p w14:paraId="148FB1DB" w14:textId="77777777" w:rsidR="009E1023" w:rsidRDefault="009E1023" w:rsidP="009E1023">
      <w:pPr>
        <w:pStyle w:val="ARTartustawynprozporzdzenia"/>
      </w:pPr>
      <w:r w:rsidRPr="00524965">
        <w:t xml:space="preserve">Zawarte w projekcie regulacje nie będą miały wpływu na działalność </w:t>
      </w:r>
      <w:proofErr w:type="spellStart"/>
      <w:r w:rsidRPr="00524965">
        <w:t>mikroprzedsiębiorców</w:t>
      </w:r>
      <w:proofErr w:type="spellEnd"/>
      <w:r w:rsidRPr="00524965">
        <w:t>, małych i średnich przedsiębiorców, o których mowa w ustawie z dnia 6 marca 2018 r. – Prawo przedsiębiorców (Dz. U. z 202</w:t>
      </w:r>
      <w:r>
        <w:t>5</w:t>
      </w:r>
      <w:r w:rsidRPr="00524965">
        <w:t xml:space="preserve"> r. poz. </w:t>
      </w:r>
      <w:r>
        <w:t>1480</w:t>
      </w:r>
      <w:r w:rsidRPr="00524965">
        <w:t>).</w:t>
      </w:r>
    </w:p>
    <w:p w14:paraId="67A6CF2F" w14:textId="77777777" w:rsidR="009E1023" w:rsidRDefault="009E1023" w:rsidP="009E1023">
      <w:pPr>
        <w:pStyle w:val="ARTartustawynprozporzdzenia"/>
        <w:ind w:firstLine="0"/>
      </w:pPr>
    </w:p>
    <w:p w14:paraId="4E826792" w14:textId="056739DC" w:rsidR="009E1023" w:rsidRDefault="009E1023">
      <w:pPr>
        <w:rPr>
          <w:rFonts w:ascii="Arial" w:hAnsi="Arial" w:cs="Arial"/>
          <w:b/>
          <w:bCs/>
          <w:sz w:val="24"/>
        </w:rPr>
      </w:pPr>
    </w:p>
    <w:p w14:paraId="4DA075E5" w14:textId="77777777" w:rsidR="009E1023" w:rsidRDefault="009E1023">
      <w:pPr>
        <w:rPr>
          <w:rFonts w:ascii="Arial" w:hAnsi="Arial" w:cs="Arial"/>
          <w:b/>
          <w:bCs/>
          <w:sz w:val="24"/>
        </w:rPr>
      </w:pPr>
    </w:p>
    <w:p w14:paraId="2F6E2666" w14:textId="77777777" w:rsidR="009E1023" w:rsidRDefault="009E1023">
      <w:pPr>
        <w:rPr>
          <w:rFonts w:ascii="Arial" w:hAnsi="Arial" w:cs="Arial"/>
          <w:b/>
          <w:bCs/>
          <w:sz w:val="24"/>
        </w:rPr>
      </w:pPr>
    </w:p>
    <w:p w14:paraId="09F7BEA3" w14:textId="77777777" w:rsidR="009E1023" w:rsidRDefault="009E1023">
      <w:pPr>
        <w:rPr>
          <w:rFonts w:ascii="Arial" w:hAnsi="Arial" w:cs="Arial"/>
          <w:b/>
          <w:bCs/>
          <w:sz w:val="24"/>
        </w:rPr>
      </w:pPr>
    </w:p>
    <w:p w14:paraId="29BDBC9E" w14:textId="0BEB1F54" w:rsidR="009E1023" w:rsidRDefault="009E1023" w:rsidP="009E1023">
      <w:pPr>
        <w:spacing w:after="0" w:line="240" w:lineRule="auto"/>
        <w:jc w:val="center"/>
        <w:rPr>
          <w:rFonts w:ascii="Arial" w:hAnsi="Arial" w:cs="Arial"/>
          <w:b/>
          <w:bCs/>
          <w:sz w:val="24"/>
        </w:rPr>
      </w:pPr>
      <w:r>
        <w:rPr>
          <w:rFonts w:ascii="Arial" w:hAnsi="Arial" w:cs="Arial"/>
          <w:b/>
          <w:bCs/>
          <w:sz w:val="24"/>
        </w:rPr>
        <w:lastRenderedPageBreak/>
        <w:t>DEKLAROWANE SKUTKI REGULACJI (DSR)</w:t>
      </w:r>
    </w:p>
    <w:p w14:paraId="6EF9C9F2" w14:textId="77777777" w:rsidR="009E1023" w:rsidRDefault="009E1023" w:rsidP="009E1023">
      <w:pPr>
        <w:spacing w:after="0" w:line="240" w:lineRule="auto"/>
        <w:jc w:val="center"/>
        <w:rPr>
          <w:rFonts w:ascii="Arial" w:hAnsi="Arial" w:cs="Arial"/>
          <w:b/>
          <w:bCs/>
          <w:sz w:val="24"/>
        </w:rPr>
      </w:pPr>
      <w:r>
        <w:rPr>
          <w:rFonts w:ascii="Arial" w:hAnsi="Arial" w:cs="Arial"/>
          <w:b/>
          <w:bCs/>
          <w:sz w:val="24"/>
        </w:rPr>
        <w:t>projektu ustawy</w:t>
      </w:r>
    </w:p>
    <w:p w14:paraId="7FC52CDD" w14:textId="77777777" w:rsidR="009E1023" w:rsidRDefault="009E1023" w:rsidP="009E1023">
      <w:pPr>
        <w:spacing w:after="0" w:line="240" w:lineRule="auto"/>
        <w:jc w:val="center"/>
        <w:rPr>
          <w:rFonts w:ascii="Arial" w:hAnsi="Arial" w:cs="Arial"/>
          <w:b/>
          <w:bCs/>
          <w:sz w:val="24"/>
        </w:rPr>
      </w:pPr>
    </w:p>
    <w:p w14:paraId="4A57267A" w14:textId="77777777" w:rsidR="009E1023" w:rsidRDefault="009E1023" w:rsidP="009E1023">
      <w:pPr>
        <w:spacing w:after="0" w:line="240" w:lineRule="auto"/>
        <w:jc w:val="center"/>
        <w:rPr>
          <w:rFonts w:ascii="Arial" w:hAnsi="Arial" w:cs="Arial"/>
          <w:b/>
          <w:bCs/>
          <w:sz w:val="24"/>
        </w:rPr>
      </w:pPr>
    </w:p>
    <w:p w14:paraId="0C6BEA78" w14:textId="77777777" w:rsidR="009E1023" w:rsidRDefault="009E1023" w:rsidP="009E1023">
      <w:pPr>
        <w:tabs>
          <w:tab w:val="left" w:pos="2834"/>
        </w:tabs>
        <w:spacing w:after="0" w:line="240" w:lineRule="auto"/>
        <w:rPr>
          <w:rFonts w:ascii="Arial" w:hAnsi="Arial" w:cs="Arial"/>
          <w:b/>
          <w:bCs/>
          <w:sz w:val="24"/>
        </w:rPr>
      </w:pPr>
      <w:r>
        <w:rPr>
          <w:rFonts w:ascii="Arial" w:hAnsi="Arial" w:cs="Arial"/>
          <w:b/>
          <w:bCs/>
          <w:sz w:val="24"/>
        </w:rPr>
        <w:tab/>
      </w:r>
    </w:p>
    <w:p w14:paraId="230EB066" w14:textId="77777777" w:rsidR="009E1023" w:rsidRPr="0017371E" w:rsidRDefault="009E1023" w:rsidP="009E1023">
      <w:pPr>
        <w:tabs>
          <w:tab w:val="left" w:pos="6290"/>
        </w:tabs>
        <w:jc w:val="both"/>
        <w:rPr>
          <w:rFonts w:ascii="Arial" w:hAnsi="Arial" w:cs="Arial"/>
          <w:b/>
          <w:bCs/>
          <w:sz w:val="24"/>
        </w:rPr>
      </w:pPr>
      <w:r>
        <w:rPr>
          <w:rFonts w:ascii="Arial" w:hAnsi="Arial" w:cs="Arial"/>
          <w:b/>
          <w:bCs/>
          <w:sz w:val="24"/>
        </w:rPr>
        <w:t>Informacja o projekcie</w:t>
      </w:r>
      <w:r>
        <w:rPr>
          <w:rFonts w:ascii="Arial" w:hAnsi="Arial" w:cs="Arial"/>
          <w:b/>
          <w:bCs/>
          <w:sz w:val="24"/>
        </w:rPr>
        <w:tab/>
      </w:r>
    </w:p>
    <w:p w14:paraId="0591F261" w14:textId="77777777" w:rsidR="009E1023" w:rsidRPr="0017371E" w:rsidRDefault="009E1023" w:rsidP="009E1023">
      <w:pPr>
        <w:ind w:left="360"/>
        <w:jc w:val="both"/>
        <w:rPr>
          <w:rFonts w:ascii="Arial" w:hAnsi="Arial" w:cs="Arial"/>
          <w:sz w:val="24"/>
          <w:szCs w:val="24"/>
        </w:rPr>
      </w:pPr>
      <w:r w:rsidRPr="0017371E">
        <w:rPr>
          <w:rFonts w:ascii="Arial" w:hAnsi="Arial" w:cs="Arial"/>
          <w:sz w:val="24"/>
          <w:szCs w:val="24"/>
        </w:rPr>
        <w:t>a) Tytuł projektu</w:t>
      </w:r>
      <w:r>
        <w:rPr>
          <w:rFonts w:ascii="Arial" w:hAnsi="Arial" w:cs="Arial"/>
          <w:sz w:val="24"/>
          <w:szCs w:val="24"/>
        </w:rPr>
        <w:t>:</w:t>
      </w:r>
    </w:p>
    <w:tbl>
      <w:tblPr>
        <w:tblStyle w:val="Tabela-Siatka"/>
        <w:tblW w:w="9182" w:type="dxa"/>
        <w:tblLook w:val="04A0" w:firstRow="1" w:lastRow="0" w:firstColumn="1" w:lastColumn="0" w:noHBand="0" w:noVBand="1"/>
      </w:tblPr>
      <w:tblGrid>
        <w:gridCol w:w="9182"/>
      </w:tblGrid>
      <w:tr w:rsidR="009E1023" w14:paraId="48298A12" w14:textId="77777777" w:rsidTr="008B793E">
        <w:trPr>
          <w:trHeight w:val="410"/>
        </w:trPr>
        <w:tc>
          <w:tcPr>
            <w:tcW w:w="9182" w:type="dxa"/>
          </w:tcPr>
          <w:p w14:paraId="4B0C24FE" w14:textId="77777777" w:rsidR="009E1023" w:rsidRDefault="009E1023" w:rsidP="008B793E">
            <w:pPr>
              <w:ind w:left="360"/>
              <w:jc w:val="both"/>
              <w:rPr>
                <w:rFonts w:ascii="Arial" w:hAnsi="Arial" w:cs="Arial"/>
                <w:sz w:val="20"/>
                <w:szCs w:val="20"/>
              </w:rPr>
            </w:pPr>
            <w:bookmarkStart w:id="0" w:name="_Hlk174516121"/>
          </w:p>
          <w:p w14:paraId="2BF3EF21" w14:textId="77777777" w:rsidR="009E1023" w:rsidRPr="001F52F0" w:rsidRDefault="009E1023" w:rsidP="008B793E">
            <w:pPr>
              <w:jc w:val="both"/>
              <w:rPr>
                <w:rFonts w:ascii="Arial" w:hAnsi="Arial" w:cs="Arial"/>
                <w:color w:val="808080" w:themeColor="background1" w:themeShade="80"/>
                <w:sz w:val="24"/>
                <w:szCs w:val="24"/>
              </w:rPr>
            </w:pPr>
            <w:r>
              <w:rPr>
                <w:rFonts w:ascii="Arial" w:hAnsi="Arial" w:cs="Arial"/>
                <w:color w:val="000000" w:themeColor="text1"/>
                <w:sz w:val="24"/>
                <w:szCs w:val="24"/>
              </w:rPr>
              <w:t xml:space="preserve">Poselski projekt ustawy o zmianie </w:t>
            </w:r>
            <w:r w:rsidRPr="001F52F0">
              <w:rPr>
                <w:rFonts w:ascii="Arial" w:hAnsi="Arial" w:cs="Arial"/>
                <w:color w:val="000000" w:themeColor="text1"/>
                <w:sz w:val="24"/>
                <w:szCs w:val="24"/>
              </w:rPr>
              <w:t>ustawy o pomocy społecznej</w:t>
            </w:r>
          </w:p>
        </w:tc>
      </w:tr>
      <w:bookmarkEnd w:id="0"/>
    </w:tbl>
    <w:p w14:paraId="7CA2C082" w14:textId="77777777" w:rsidR="009E1023" w:rsidRDefault="009E1023" w:rsidP="009E1023">
      <w:pPr>
        <w:jc w:val="both"/>
        <w:rPr>
          <w:rFonts w:ascii="Arial" w:hAnsi="Arial" w:cs="Arial"/>
          <w:b/>
          <w:bCs/>
          <w:sz w:val="24"/>
        </w:rPr>
      </w:pPr>
    </w:p>
    <w:p w14:paraId="0AC0319E" w14:textId="77777777" w:rsidR="009E1023" w:rsidRPr="0017371E" w:rsidRDefault="009E1023" w:rsidP="009E1023">
      <w:pPr>
        <w:ind w:left="360"/>
        <w:jc w:val="both"/>
        <w:rPr>
          <w:rFonts w:ascii="Arial" w:eastAsia="Times New Roman" w:hAnsi="Arial" w:cs="Arial"/>
          <w:sz w:val="24"/>
          <w:szCs w:val="24"/>
          <w14:ligatures w14:val="none"/>
        </w:rPr>
      </w:pPr>
      <w:r w:rsidRPr="0017371E">
        <w:rPr>
          <w:rFonts w:ascii="Arial" w:eastAsia="Times New Roman" w:hAnsi="Arial" w:cs="Arial"/>
          <w:sz w:val="24"/>
          <w:szCs w:val="24"/>
          <w14:ligatures w14:val="none"/>
        </w:rPr>
        <w:t>b) Przedstawiciel wnioskodawcy</w:t>
      </w:r>
      <w:r>
        <w:rPr>
          <w:rFonts w:ascii="Arial" w:eastAsia="Times New Roman" w:hAnsi="Arial" w:cs="Arial"/>
          <w:sz w:val="24"/>
          <w:szCs w:val="24"/>
          <w14:ligatures w14:val="none"/>
        </w:rPr>
        <w:t>:</w:t>
      </w:r>
    </w:p>
    <w:tbl>
      <w:tblPr>
        <w:tblStyle w:val="Tabela-Siatka"/>
        <w:tblW w:w="9209" w:type="dxa"/>
        <w:tblLook w:val="04A0" w:firstRow="1" w:lastRow="0" w:firstColumn="1" w:lastColumn="0" w:noHBand="0" w:noVBand="1"/>
      </w:tblPr>
      <w:tblGrid>
        <w:gridCol w:w="9209"/>
      </w:tblGrid>
      <w:tr w:rsidR="009E1023" w14:paraId="2DF94A30" w14:textId="77777777" w:rsidTr="008B793E">
        <w:trPr>
          <w:trHeight w:val="671"/>
        </w:trPr>
        <w:tc>
          <w:tcPr>
            <w:tcW w:w="9209" w:type="dxa"/>
          </w:tcPr>
          <w:p w14:paraId="0A3C2D94" w14:textId="77777777" w:rsidR="009E1023" w:rsidRDefault="009E1023" w:rsidP="008B793E">
            <w:pPr>
              <w:jc w:val="both"/>
              <w:rPr>
                <w:rFonts w:ascii="Arial" w:eastAsia="Times New Roman" w:hAnsi="Arial" w:cs="Arial"/>
                <w:color w:val="808080" w:themeColor="background1" w:themeShade="80"/>
                <w:sz w:val="20"/>
                <w:szCs w:val="20"/>
                <w14:ligatures w14:val="none"/>
              </w:rPr>
            </w:pPr>
          </w:p>
          <w:p w14:paraId="41AD3C90" w14:textId="77777777" w:rsidR="009E1023" w:rsidRPr="007C6CDF" w:rsidRDefault="009E1023" w:rsidP="008B793E">
            <w:pPr>
              <w:jc w:val="both"/>
              <w:rPr>
                <w:rFonts w:ascii="Arial" w:eastAsia="Times New Roman" w:hAnsi="Arial" w:cs="Arial"/>
                <w:b/>
                <w:bCs/>
                <w:color w:val="808080" w:themeColor="background1" w:themeShade="80"/>
                <w:sz w:val="20"/>
                <w:szCs w:val="20"/>
                <w14:ligatures w14:val="none"/>
              </w:rPr>
            </w:pPr>
            <w:r w:rsidRPr="007C6CDF">
              <w:rPr>
                <w:rFonts w:ascii="Arial" w:eastAsia="Times New Roman" w:hAnsi="Arial" w:cs="Arial"/>
                <w:b/>
                <w:bCs/>
                <w:color w:val="808080" w:themeColor="background1" w:themeShade="80"/>
                <w:sz w:val="20"/>
                <w:szCs w:val="20"/>
                <w14:ligatures w14:val="none"/>
              </w:rPr>
              <w:t>Jolanta Zięba-Gzik</w:t>
            </w:r>
          </w:p>
        </w:tc>
      </w:tr>
    </w:tbl>
    <w:p w14:paraId="4F9FE02A" w14:textId="77777777" w:rsidR="009E1023" w:rsidRDefault="009E1023" w:rsidP="009E1023">
      <w:pPr>
        <w:jc w:val="both"/>
        <w:rPr>
          <w:rFonts w:ascii="Arial" w:hAnsi="Arial" w:cs="Arial"/>
          <w:b/>
          <w:bCs/>
          <w:sz w:val="24"/>
        </w:rPr>
      </w:pPr>
    </w:p>
    <w:p w14:paraId="43678519" w14:textId="77777777" w:rsidR="009E1023" w:rsidRPr="009C37AF" w:rsidRDefault="009E1023" w:rsidP="009E1023">
      <w:pPr>
        <w:rPr>
          <w:rFonts w:ascii="Arial" w:hAnsi="Arial" w:cs="Arial"/>
          <w:b/>
          <w:bCs/>
          <w:sz w:val="24"/>
        </w:rPr>
      </w:pPr>
    </w:p>
    <w:p w14:paraId="7569E1C0" w14:textId="77777777" w:rsidR="009E1023" w:rsidRDefault="009E1023" w:rsidP="009E1023">
      <w:pPr>
        <w:rPr>
          <w:rFonts w:ascii="Arial" w:hAnsi="Arial" w:cs="Arial"/>
          <w:sz w:val="24"/>
        </w:rPr>
      </w:pPr>
      <w:r w:rsidRPr="009C37AF">
        <w:rPr>
          <w:rFonts w:ascii="Arial" w:hAnsi="Arial" w:cs="Arial"/>
          <w:b/>
          <w:sz w:val="24"/>
        </w:rPr>
        <w:t xml:space="preserve">I. </w:t>
      </w:r>
      <w:r>
        <w:rPr>
          <w:rFonts w:ascii="Arial" w:hAnsi="Arial" w:cs="Arial"/>
          <w:b/>
          <w:sz w:val="24"/>
        </w:rPr>
        <w:t>Część wstępna</w:t>
      </w:r>
    </w:p>
    <w:p w14:paraId="7A068280" w14:textId="77777777" w:rsidR="009E1023" w:rsidRDefault="009E1023" w:rsidP="009E1023">
      <w:pPr>
        <w:jc w:val="both"/>
        <w:rPr>
          <w:rFonts w:ascii="Arial" w:hAnsi="Arial" w:cs="Arial"/>
          <w:sz w:val="24"/>
        </w:rPr>
      </w:pPr>
      <w:r w:rsidRPr="009C37AF">
        <w:rPr>
          <w:rFonts w:ascii="Arial" w:hAnsi="Arial" w:cs="Arial"/>
          <w:sz w:val="24"/>
        </w:rPr>
        <w:t xml:space="preserve">[1] </w:t>
      </w:r>
      <w:r>
        <w:rPr>
          <w:rFonts w:ascii="Arial" w:hAnsi="Arial" w:cs="Arial"/>
          <w:sz w:val="24"/>
        </w:rPr>
        <w:t>Zwięzły o</w:t>
      </w:r>
      <w:r w:rsidRPr="009C37AF">
        <w:rPr>
          <w:rFonts w:ascii="Arial" w:hAnsi="Arial" w:cs="Arial"/>
          <w:sz w:val="24"/>
        </w:rPr>
        <w:t xml:space="preserve">pis </w:t>
      </w:r>
      <w:r>
        <w:rPr>
          <w:rFonts w:ascii="Arial" w:hAnsi="Arial" w:cs="Arial"/>
          <w:sz w:val="24"/>
        </w:rPr>
        <w:t xml:space="preserve">zidentyfikowanego problemu i </w:t>
      </w:r>
      <w:r w:rsidRPr="009C37AF">
        <w:rPr>
          <w:rFonts w:ascii="Arial" w:hAnsi="Arial" w:cs="Arial"/>
          <w:sz w:val="24"/>
        </w:rPr>
        <w:t>proponowanych rozwiązań</w:t>
      </w:r>
      <w:r>
        <w:rPr>
          <w:rFonts w:ascii="Arial" w:hAnsi="Arial" w:cs="Arial"/>
          <w:sz w:val="24"/>
        </w:rPr>
        <w:t>.</w:t>
      </w:r>
    </w:p>
    <w:tbl>
      <w:tblPr>
        <w:tblStyle w:val="Tabela-Siatka"/>
        <w:tblW w:w="0" w:type="auto"/>
        <w:tblLook w:val="04A0" w:firstRow="1" w:lastRow="0" w:firstColumn="1" w:lastColumn="0" w:noHBand="0" w:noVBand="1"/>
      </w:tblPr>
      <w:tblGrid>
        <w:gridCol w:w="9060"/>
      </w:tblGrid>
      <w:tr w:rsidR="009E1023" w14:paraId="6DFF2D04" w14:textId="77777777" w:rsidTr="008B793E">
        <w:tc>
          <w:tcPr>
            <w:tcW w:w="9062" w:type="dxa"/>
          </w:tcPr>
          <w:p w14:paraId="66C95D29" w14:textId="77777777" w:rsidR="009E1023" w:rsidRDefault="009E1023" w:rsidP="008B793E">
            <w:pPr>
              <w:pStyle w:val="NIEARTTEKSTtekstnieartykuowanynppodstprawnarozplubpreambua"/>
              <w:spacing w:before="0"/>
              <w:ind w:firstLine="0"/>
              <w:rPr>
                <w:rFonts w:ascii="Arial" w:hAnsi="Arial"/>
              </w:rPr>
            </w:pPr>
            <w:r w:rsidRPr="001F52F0">
              <w:rPr>
                <w:rFonts w:ascii="Arial" w:hAnsi="Arial"/>
              </w:rPr>
              <w:t>Celem projektowanego aktu prawnego jest zmiana regulacji prawnych zawartych w</w:t>
            </w:r>
          </w:p>
          <w:p w14:paraId="5607E70D" w14:textId="77777777" w:rsidR="009E1023" w:rsidRDefault="009E1023" w:rsidP="008B793E">
            <w:pPr>
              <w:pStyle w:val="NIEARTTEKSTtekstnieartykuowanynppodstprawnarozplubpreambua"/>
              <w:spacing w:before="0"/>
              <w:ind w:firstLine="0"/>
              <w:rPr>
                <w:rFonts w:ascii="Arial" w:hAnsi="Arial"/>
              </w:rPr>
            </w:pPr>
            <w:r w:rsidRPr="00AB571F">
              <w:rPr>
                <w:rFonts w:ascii="Arial" w:hAnsi="Arial"/>
              </w:rPr>
              <w:t>ustaw</w:t>
            </w:r>
            <w:r>
              <w:rPr>
                <w:rFonts w:ascii="Arial" w:hAnsi="Arial"/>
              </w:rPr>
              <w:t>ie</w:t>
            </w:r>
            <w:r w:rsidRPr="00AB571F">
              <w:rPr>
                <w:rFonts w:ascii="Arial" w:hAnsi="Arial"/>
              </w:rPr>
              <w:t xml:space="preserve"> z dnia 12 marca 2004 r. o pomocy społecznej (dalej jako </w:t>
            </w:r>
            <w:proofErr w:type="spellStart"/>
            <w:r w:rsidRPr="00AB571F">
              <w:rPr>
                <w:rFonts w:ascii="Arial" w:hAnsi="Arial"/>
              </w:rPr>
              <w:t>u.p.s</w:t>
            </w:r>
            <w:proofErr w:type="spellEnd"/>
            <w:r w:rsidRPr="00AB571F">
              <w:rPr>
                <w:rFonts w:ascii="Arial" w:hAnsi="Arial"/>
              </w:rPr>
              <w:t>.)</w:t>
            </w:r>
            <w:r>
              <w:rPr>
                <w:rFonts w:ascii="Arial" w:hAnsi="Arial"/>
              </w:rPr>
              <w:t xml:space="preserve"> </w:t>
            </w:r>
            <w:r w:rsidRPr="001F52F0">
              <w:rPr>
                <w:rFonts w:ascii="Arial" w:hAnsi="Arial"/>
              </w:rPr>
              <w:t>poprzez wykluczenie sytuacji, w których na osoby małoletnie nakładane są obowiązki majątkowe na równi z osobami dorosłymi</w:t>
            </w:r>
            <w:r>
              <w:rPr>
                <w:rFonts w:ascii="Arial" w:hAnsi="Arial"/>
              </w:rPr>
              <w:t xml:space="preserve">. </w:t>
            </w:r>
          </w:p>
          <w:p w14:paraId="0837D2EA" w14:textId="77777777" w:rsidR="009E1023" w:rsidRPr="00307783" w:rsidRDefault="009E1023" w:rsidP="008B793E">
            <w:pPr>
              <w:rPr>
                <w:lang w:eastAsia="pl-PL"/>
              </w:rPr>
            </w:pPr>
          </w:p>
          <w:p w14:paraId="60A311C7" w14:textId="77777777" w:rsidR="009E1023" w:rsidRDefault="009E1023" w:rsidP="008B793E">
            <w:pPr>
              <w:pStyle w:val="NIEARTTEKSTtekstnieartykuowanynppodstprawnarozplubpreambua"/>
              <w:spacing w:before="0"/>
              <w:ind w:firstLine="0"/>
              <w:rPr>
                <w:rFonts w:ascii="Arial" w:hAnsi="Arial"/>
              </w:rPr>
            </w:pPr>
            <w:r>
              <w:rPr>
                <w:rFonts w:ascii="Arial" w:hAnsi="Arial"/>
              </w:rPr>
              <w:t xml:space="preserve">W obecnym stanie prawny małoletni dzieci, kiedy są osobami zstępnymi wobec np. rodziców, dziadków, pradziadków są w gronie osób zobowiązanych do pokrywania kosztów pobytu tych osób w domy pomocy społecznej. W efekcie np. 9-letnie dziecko, jeśli posiada majątek (np. rentę rodzinną po zmarłej matce) może zostać zobowiązane do przekazywania środków finansowych na utrzymanie osoby dorosłej. </w:t>
            </w:r>
          </w:p>
          <w:p w14:paraId="6AEDF707" w14:textId="77777777" w:rsidR="009E1023" w:rsidRPr="00307783" w:rsidRDefault="009E1023" w:rsidP="008B793E">
            <w:pPr>
              <w:rPr>
                <w:lang w:eastAsia="pl-PL"/>
              </w:rPr>
            </w:pPr>
          </w:p>
          <w:p w14:paraId="462AAB6C" w14:textId="77777777" w:rsidR="009E1023" w:rsidRPr="003B1B26" w:rsidRDefault="009E1023" w:rsidP="008B793E">
            <w:pPr>
              <w:pStyle w:val="NIEARTTEKSTtekstnieartykuowanynppodstprawnarozplubpreambua"/>
              <w:spacing w:before="0"/>
              <w:ind w:firstLine="0"/>
              <w:rPr>
                <w:rFonts w:ascii="Arial" w:hAnsi="Arial"/>
              </w:rPr>
            </w:pPr>
            <w:r w:rsidRPr="00735D22">
              <w:rPr>
                <w:rFonts w:ascii="Arial" w:hAnsi="Arial"/>
              </w:rPr>
              <w:t xml:space="preserve">Projektowana regulacja prawna zakłada nowelizację </w:t>
            </w:r>
            <w:proofErr w:type="spellStart"/>
            <w:r w:rsidRPr="00735D22">
              <w:rPr>
                <w:rFonts w:ascii="Arial" w:hAnsi="Arial"/>
              </w:rPr>
              <w:t>u.s.p</w:t>
            </w:r>
            <w:proofErr w:type="spellEnd"/>
            <w:r w:rsidRPr="00735D22">
              <w:rPr>
                <w:rFonts w:ascii="Arial" w:hAnsi="Arial"/>
              </w:rPr>
              <w:t>. poprzez dodanie ust. 1a do art. 61w brzmieniu, w którym jednoznacznie wskazuje się, że  małoletni zstępni nie są obowiązani do wnoszenia opłaty za pobyt mieszkańca domu w domu pomocy społecznej.</w:t>
            </w:r>
          </w:p>
        </w:tc>
      </w:tr>
    </w:tbl>
    <w:p w14:paraId="716EEA09" w14:textId="77777777" w:rsidR="009E1023" w:rsidRDefault="009E1023" w:rsidP="009E1023">
      <w:pPr>
        <w:jc w:val="both"/>
        <w:rPr>
          <w:rFonts w:ascii="Arial" w:hAnsi="Arial" w:cs="Arial"/>
          <w:sz w:val="24"/>
        </w:rPr>
      </w:pPr>
    </w:p>
    <w:p w14:paraId="47155793" w14:textId="77777777" w:rsidR="009E1023" w:rsidRDefault="009E1023" w:rsidP="009E1023">
      <w:pPr>
        <w:jc w:val="both"/>
        <w:rPr>
          <w:rFonts w:ascii="Arial" w:hAnsi="Arial" w:cs="Arial"/>
          <w:sz w:val="24"/>
        </w:rPr>
      </w:pPr>
    </w:p>
    <w:p w14:paraId="18CD896E" w14:textId="77777777" w:rsidR="009E1023" w:rsidRPr="009C37AF" w:rsidRDefault="009E1023" w:rsidP="009E1023">
      <w:pPr>
        <w:jc w:val="both"/>
        <w:rPr>
          <w:rFonts w:ascii="Arial" w:hAnsi="Arial" w:cs="Arial"/>
          <w:sz w:val="24"/>
        </w:rPr>
      </w:pPr>
      <w:r w:rsidRPr="009C37AF">
        <w:rPr>
          <w:rFonts w:ascii="Arial" w:hAnsi="Arial" w:cs="Arial"/>
          <w:sz w:val="24"/>
        </w:rPr>
        <w:t>[2] Czy były rozważane rozwiązania alternatywne?</w:t>
      </w:r>
    </w:p>
    <w:p w14:paraId="201E1170" w14:textId="77777777" w:rsidR="009E1023" w:rsidRPr="00AA5FA8" w:rsidRDefault="009E1023" w:rsidP="009E1023">
      <w:pPr>
        <w:pStyle w:val="Akapitzlist"/>
        <w:numPr>
          <w:ilvl w:val="0"/>
          <w:numId w:val="1"/>
        </w:numPr>
        <w:spacing w:line="240" w:lineRule="auto"/>
        <w:jc w:val="both"/>
        <w:rPr>
          <w:rFonts w:ascii="Arial" w:hAnsi="Arial" w:cs="Arial"/>
          <w:sz w:val="24"/>
        </w:rPr>
      </w:pPr>
      <w:r w:rsidRPr="00AA5FA8">
        <w:rPr>
          <w:rFonts w:ascii="Arial" w:hAnsi="Arial" w:cs="Arial"/>
          <w:sz w:val="24"/>
        </w:rPr>
        <w:t xml:space="preserve">Tak </w:t>
      </w:r>
    </w:p>
    <w:p w14:paraId="3C8FAC50" w14:textId="77777777" w:rsidR="009E1023" w:rsidRPr="001F52F0" w:rsidRDefault="009E1023" w:rsidP="009E1023">
      <w:pPr>
        <w:pStyle w:val="Akapitzlist"/>
        <w:numPr>
          <w:ilvl w:val="0"/>
          <w:numId w:val="1"/>
        </w:numPr>
        <w:spacing w:line="240" w:lineRule="auto"/>
        <w:jc w:val="both"/>
        <w:rPr>
          <w:rFonts w:ascii="Arial" w:hAnsi="Arial" w:cs="Arial"/>
          <w:b/>
          <w:bCs/>
          <w:color w:val="000000" w:themeColor="text1"/>
          <w:sz w:val="24"/>
          <w:u w:val="single"/>
        </w:rPr>
      </w:pPr>
      <w:r w:rsidRPr="001F52F0">
        <w:rPr>
          <w:rFonts w:ascii="Arial" w:hAnsi="Arial" w:cs="Arial"/>
          <w:b/>
          <w:bCs/>
          <w:color w:val="000000" w:themeColor="text1"/>
          <w:sz w:val="24"/>
          <w:u w:val="single"/>
        </w:rPr>
        <w:t>Nie</w:t>
      </w:r>
    </w:p>
    <w:tbl>
      <w:tblPr>
        <w:tblStyle w:val="Tabela-Siatka"/>
        <w:tblW w:w="0" w:type="auto"/>
        <w:tblLook w:val="04A0" w:firstRow="1" w:lastRow="0" w:firstColumn="1" w:lastColumn="0" w:noHBand="0" w:noVBand="1"/>
      </w:tblPr>
      <w:tblGrid>
        <w:gridCol w:w="9060"/>
      </w:tblGrid>
      <w:tr w:rsidR="009E1023" w14:paraId="622FCCD9" w14:textId="77777777" w:rsidTr="008B793E">
        <w:tc>
          <w:tcPr>
            <w:tcW w:w="9062" w:type="dxa"/>
          </w:tcPr>
          <w:p w14:paraId="6ED23C7F" w14:textId="77777777" w:rsidR="009E1023" w:rsidRDefault="009E1023" w:rsidP="008B793E">
            <w:pPr>
              <w:rPr>
                <w:lang w:eastAsia="pl-PL"/>
              </w:rPr>
            </w:pPr>
            <w:bookmarkStart w:id="1" w:name="_Hlk174441549"/>
          </w:p>
          <w:p w14:paraId="1267C043" w14:textId="77777777" w:rsidR="009E1023" w:rsidRPr="00307783" w:rsidRDefault="009E1023" w:rsidP="008B793E">
            <w:pPr>
              <w:spacing w:line="360" w:lineRule="auto"/>
              <w:rPr>
                <w:rFonts w:ascii="Arial" w:eastAsiaTheme="minorEastAsia" w:hAnsi="Arial" w:cs="Arial"/>
                <w:bCs/>
                <w:kern w:val="0"/>
                <w:sz w:val="24"/>
                <w:szCs w:val="20"/>
                <w:lang w:eastAsia="pl-PL"/>
                <w14:ligatures w14:val="none"/>
              </w:rPr>
            </w:pPr>
            <w:r w:rsidRPr="00307783">
              <w:rPr>
                <w:rFonts w:ascii="Arial" w:eastAsiaTheme="minorEastAsia" w:hAnsi="Arial" w:cs="Arial"/>
                <w:bCs/>
                <w:kern w:val="0"/>
                <w:sz w:val="24"/>
                <w:szCs w:val="20"/>
                <w:lang w:eastAsia="pl-PL"/>
                <w14:ligatures w14:val="none"/>
              </w:rPr>
              <w:lastRenderedPageBreak/>
              <w:t>Projekt zakłada wyłączenie małoletnich z kręgu osób obciążanych obowiązkiem zapłaty świadczeń za swoich dorosłych zstępnych. Innymi słowy zwolnienie ich z alimentowania wstępnych. Nie ma innej, alternatywnej możliwości zmiany sytuacji dzieci w przedmiotowym zakresie. Obecny stan prawny w sposób rażący narusza prawa dziecka, jako osoby wrażliwej, wymagającej szczególnej ochrony w każdej sferze życia.</w:t>
            </w:r>
          </w:p>
          <w:p w14:paraId="31478203" w14:textId="77777777" w:rsidR="009E1023" w:rsidRPr="00307783" w:rsidRDefault="009E1023" w:rsidP="008B793E">
            <w:pPr>
              <w:rPr>
                <w:lang w:eastAsia="pl-PL"/>
              </w:rPr>
            </w:pPr>
          </w:p>
          <w:p w14:paraId="1F53855C" w14:textId="77777777" w:rsidR="009E1023" w:rsidRPr="001F52F0" w:rsidRDefault="009E1023" w:rsidP="008B793E">
            <w:pPr>
              <w:pStyle w:val="Akapitzlist"/>
              <w:jc w:val="both"/>
              <w:rPr>
                <w:rFonts w:ascii="Arial" w:eastAsia="Times New Roman" w:hAnsi="Arial" w:cs="Arial"/>
                <w:color w:val="808080" w:themeColor="background1" w:themeShade="80"/>
                <w:sz w:val="20"/>
                <w:szCs w:val="20"/>
                <w14:ligatures w14:val="none"/>
              </w:rPr>
            </w:pPr>
          </w:p>
        </w:tc>
      </w:tr>
      <w:bookmarkEnd w:id="1"/>
    </w:tbl>
    <w:p w14:paraId="5ED28409" w14:textId="77777777" w:rsidR="009E1023" w:rsidRDefault="009E1023" w:rsidP="009E1023">
      <w:pPr>
        <w:rPr>
          <w:rFonts w:ascii="Arial" w:hAnsi="Arial" w:cs="Arial"/>
          <w:b/>
          <w:sz w:val="24"/>
        </w:rPr>
      </w:pPr>
    </w:p>
    <w:p w14:paraId="4D2039FD" w14:textId="77777777" w:rsidR="009E1023" w:rsidRDefault="009E1023" w:rsidP="009E1023">
      <w:pPr>
        <w:rPr>
          <w:rFonts w:ascii="Arial" w:hAnsi="Arial" w:cs="Arial"/>
          <w:sz w:val="24"/>
        </w:rPr>
      </w:pPr>
      <w:r w:rsidRPr="009C37AF">
        <w:rPr>
          <w:rFonts w:ascii="Arial" w:hAnsi="Arial" w:cs="Arial"/>
          <w:b/>
          <w:sz w:val="24"/>
        </w:rPr>
        <w:t xml:space="preserve">II. </w:t>
      </w:r>
      <w:r>
        <w:rPr>
          <w:rFonts w:ascii="Arial" w:hAnsi="Arial" w:cs="Arial"/>
          <w:b/>
          <w:sz w:val="24"/>
        </w:rPr>
        <w:t>Wymogi określone w art. 34 ust. 2 pkt 3–5 regulaminu Sejmu</w:t>
      </w:r>
    </w:p>
    <w:p w14:paraId="685D8E40" w14:textId="77777777" w:rsidR="009E1023" w:rsidRDefault="009E1023" w:rsidP="009E1023">
      <w:pPr>
        <w:jc w:val="both"/>
        <w:rPr>
          <w:rFonts w:ascii="Arial" w:hAnsi="Arial" w:cs="Arial"/>
          <w:sz w:val="24"/>
        </w:rPr>
      </w:pPr>
      <w:r w:rsidRPr="009C37AF">
        <w:rPr>
          <w:rFonts w:ascii="Arial" w:hAnsi="Arial" w:cs="Arial"/>
          <w:sz w:val="24"/>
        </w:rPr>
        <w:t xml:space="preserve">[3] Jakie są </w:t>
      </w:r>
      <w:r>
        <w:rPr>
          <w:rFonts w:ascii="Arial" w:hAnsi="Arial" w:cs="Arial"/>
          <w:sz w:val="24"/>
        </w:rPr>
        <w:t>przewidywane</w:t>
      </w:r>
      <w:r w:rsidRPr="009C37AF">
        <w:rPr>
          <w:rFonts w:ascii="Arial" w:hAnsi="Arial" w:cs="Arial"/>
          <w:sz w:val="24"/>
        </w:rPr>
        <w:t xml:space="preserve"> skutki prawne projektowanych rozwiązań?</w:t>
      </w:r>
    </w:p>
    <w:tbl>
      <w:tblPr>
        <w:tblStyle w:val="Tabela-Siatka"/>
        <w:tblW w:w="0" w:type="auto"/>
        <w:tblLook w:val="04A0" w:firstRow="1" w:lastRow="0" w:firstColumn="1" w:lastColumn="0" w:noHBand="0" w:noVBand="1"/>
      </w:tblPr>
      <w:tblGrid>
        <w:gridCol w:w="9060"/>
      </w:tblGrid>
      <w:tr w:rsidR="009E1023" w14:paraId="571E86DE" w14:textId="77777777" w:rsidTr="008B793E">
        <w:tc>
          <w:tcPr>
            <w:tcW w:w="9062" w:type="dxa"/>
          </w:tcPr>
          <w:p w14:paraId="68272A4E" w14:textId="77777777" w:rsidR="009E1023" w:rsidRDefault="009E1023" w:rsidP="008B793E">
            <w:pPr>
              <w:pStyle w:val="NIEARTTEKSTtekstnieartykuowanynppodstprawnarozplubpreambua"/>
              <w:ind w:firstLine="0"/>
              <w:rPr>
                <w:rFonts w:ascii="Arial" w:hAnsi="Arial"/>
              </w:rPr>
            </w:pPr>
            <w:r w:rsidRPr="001F52F0">
              <w:rPr>
                <w:rFonts w:ascii="Arial" w:hAnsi="Arial"/>
              </w:rPr>
              <w:t xml:space="preserve">Art. 72 ust. 1 Konstytucja Rzeczypospolitej Polskiej w sposób szczególny chroni dzieci, nakładając obowiązek zabezpieczenia sytuacji osób najmłodszych przed przemocą, okrucieństwem, wyzyskiem i demoralizacją. Uregulowanie pozycji dzieci w porządku prawnym wymaga każdorazowej weryfikacji czy z uwagi na ich szczególną sytuację wynikająca z braku wystarczającej dojrzałości, braku doświadczenia życiowego - w sposób właściwy zabezpieczone jest ich dobro i bezpieczeństwo. </w:t>
            </w:r>
          </w:p>
          <w:p w14:paraId="418ED23F" w14:textId="77777777" w:rsidR="009E1023" w:rsidRDefault="009E1023" w:rsidP="008B793E">
            <w:pPr>
              <w:jc w:val="both"/>
              <w:rPr>
                <w:rFonts w:ascii="Arial" w:eastAsia="Times New Roman" w:hAnsi="Arial" w:cs="Arial"/>
                <w:color w:val="808080" w:themeColor="background1" w:themeShade="80"/>
                <w:sz w:val="20"/>
                <w:szCs w:val="20"/>
                <w14:ligatures w14:val="none"/>
              </w:rPr>
            </w:pPr>
          </w:p>
          <w:p w14:paraId="1F24818C" w14:textId="77777777" w:rsidR="009E1023" w:rsidRDefault="009E1023" w:rsidP="008B793E">
            <w:pPr>
              <w:pStyle w:val="ARTartustawynprozporzdzenia"/>
              <w:ind w:firstLine="0"/>
              <w:rPr>
                <w:rFonts w:ascii="Arial" w:hAnsi="Arial"/>
              </w:rPr>
            </w:pPr>
            <w:r w:rsidRPr="00AB571F">
              <w:rPr>
                <w:rFonts w:ascii="Arial" w:hAnsi="Arial"/>
              </w:rPr>
              <w:t xml:space="preserve">Art. 61 ust. 1 </w:t>
            </w:r>
            <w:proofErr w:type="spellStart"/>
            <w:r>
              <w:rPr>
                <w:rFonts w:ascii="Arial" w:hAnsi="Arial"/>
              </w:rPr>
              <w:t>u.s.p</w:t>
            </w:r>
            <w:proofErr w:type="spellEnd"/>
            <w:r>
              <w:rPr>
                <w:rFonts w:ascii="Arial" w:hAnsi="Arial"/>
              </w:rPr>
              <w:t xml:space="preserve">. </w:t>
            </w:r>
            <w:r w:rsidRPr="00AB571F">
              <w:rPr>
                <w:rFonts w:ascii="Arial" w:hAnsi="Arial"/>
              </w:rPr>
              <w:t xml:space="preserve">wymienia katalog osób zobowiązanych do wnoszenia opłaty za pobyt mieszkańca domu w domu pomocy społecznej. </w:t>
            </w:r>
          </w:p>
          <w:p w14:paraId="568A9659" w14:textId="77777777" w:rsidR="009E1023" w:rsidRPr="00AB571F" w:rsidRDefault="009E1023" w:rsidP="008B793E">
            <w:pPr>
              <w:pStyle w:val="ARTartustawynprozporzdzenia"/>
              <w:ind w:firstLine="0"/>
              <w:rPr>
                <w:rFonts w:ascii="Arial" w:hAnsi="Arial"/>
              </w:rPr>
            </w:pPr>
            <w:r w:rsidRPr="00AB571F">
              <w:rPr>
                <w:rFonts w:ascii="Arial" w:hAnsi="Arial"/>
              </w:rPr>
              <w:t xml:space="preserve">Z ww. regulacji prawnej wynika, że w pierwszej kolejności koszty pobytu w domu pomocy społecznej pokrywa mieszkaniec, a w przypadku osób małoletnich – przedstawiciel ustawowy z dochodów dziecka. Jeżeli mieszkaniec nie jest w stanie uiścić opłat, to zobowiązanie to obciąża kolejno małżonka, zstępnych, wstępnych a w ostatniej kolejności gminę, z której osoba została skierowana do domu pomocy społecznej. </w:t>
            </w:r>
          </w:p>
          <w:p w14:paraId="1DB6C0E8" w14:textId="77777777" w:rsidR="009E1023" w:rsidRDefault="009E1023" w:rsidP="008B793E">
            <w:pPr>
              <w:pStyle w:val="ARTartustawynprozporzdzenia"/>
              <w:ind w:firstLine="0"/>
            </w:pPr>
            <w:r w:rsidRPr="00AB571F">
              <w:rPr>
                <w:rFonts w:ascii="Arial" w:hAnsi="Arial"/>
              </w:rPr>
              <w:t xml:space="preserve">Art. 61 ust. 1 </w:t>
            </w:r>
            <w:proofErr w:type="spellStart"/>
            <w:r w:rsidRPr="00AB571F">
              <w:rPr>
                <w:rFonts w:ascii="Arial" w:hAnsi="Arial"/>
              </w:rPr>
              <w:t>u.s.p</w:t>
            </w:r>
            <w:proofErr w:type="spellEnd"/>
            <w:r w:rsidRPr="00AB571F">
              <w:rPr>
                <w:rFonts w:ascii="Arial" w:hAnsi="Arial"/>
              </w:rPr>
              <w:t>. jasno wskazuje, że osobą zobowiązaną do wnoszenia opłaty za pobyt mieszkańca domu w domu pomocy społecznej są także zstępne osoby małoletnie. Co istotne obowiązek zstępnych osób małoletnich jest uregulowany w taki sam sposób jak obowiązek zstępnych osób dorosłych</w:t>
            </w:r>
            <w:r>
              <w:t xml:space="preserve">. </w:t>
            </w:r>
          </w:p>
          <w:p w14:paraId="07133F54" w14:textId="77777777" w:rsidR="009E1023" w:rsidRDefault="009E1023" w:rsidP="008B793E">
            <w:pPr>
              <w:pStyle w:val="ARTartustawynprozporzdzenia"/>
              <w:ind w:firstLine="0"/>
              <w:rPr>
                <w:rFonts w:ascii="Arial" w:hAnsi="Arial"/>
              </w:rPr>
            </w:pPr>
            <w:r w:rsidRPr="00AB571F">
              <w:rPr>
                <w:rFonts w:ascii="Arial" w:hAnsi="Arial"/>
              </w:rPr>
              <w:t>Oznacza to więc, że osoby małoletnie nie posiadają żadnej, szczególnej ochrony</w:t>
            </w:r>
            <w:r>
              <w:rPr>
                <w:rFonts w:ascii="Arial" w:hAnsi="Arial"/>
              </w:rPr>
              <w:t xml:space="preserve"> nadanej przez art. </w:t>
            </w:r>
            <w:r w:rsidRPr="001F52F0">
              <w:rPr>
                <w:rFonts w:ascii="Arial" w:hAnsi="Arial"/>
              </w:rPr>
              <w:t>72 ust. 1 Konstytucja Rzeczypospolitej Polskiej</w:t>
            </w:r>
            <w:r w:rsidRPr="00AB571F">
              <w:rPr>
                <w:rFonts w:ascii="Arial" w:hAnsi="Arial"/>
              </w:rPr>
              <w:t xml:space="preserve"> a na mocy ww. </w:t>
            </w:r>
            <w:r>
              <w:rPr>
                <w:rFonts w:ascii="Arial" w:hAnsi="Arial"/>
              </w:rPr>
              <w:t>ustawy o pomocy społecznej</w:t>
            </w:r>
            <w:r w:rsidRPr="00AB571F">
              <w:rPr>
                <w:rFonts w:ascii="Arial" w:hAnsi="Arial"/>
              </w:rPr>
              <w:t xml:space="preserve"> został nałożone na nie poważne zobowiązanie o </w:t>
            </w:r>
            <w:r w:rsidRPr="00AB571F">
              <w:rPr>
                <w:rFonts w:ascii="Arial" w:hAnsi="Arial"/>
              </w:rPr>
              <w:lastRenderedPageBreak/>
              <w:t>charakterze majątkowym powodujące, że mimo małoletności mogą one zostać osobami zadłużonymi.</w:t>
            </w:r>
          </w:p>
          <w:p w14:paraId="08713217" w14:textId="77777777" w:rsidR="009E1023" w:rsidRDefault="009E1023" w:rsidP="008B793E">
            <w:pPr>
              <w:pStyle w:val="ARTartustawynprozporzdzenia"/>
              <w:ind w:firstLine="0"/>
              <w:rPr>
                <w:rFonts w:ascii="Arial" w:hAnsi="Arial"/>
              </w:rPr>
            </w:pPr>
            <w:r w:rsidRPr="00735D22">
              <w:rPr>
                <w:rFonts w:ascii="Arial" w:hAnsi="Arial"/>
              </w:rPr>
              <w:t xml:space="preserve">Projektowana regulacja prawna zakłada nowelizację </w:t>
            </w:r>
            <w:proofErr w:type="spellStart"/>
            <w:r w:rsidRPr="00735D22">
              <w:rPr>
                <w:rFonts w:ascii="Arial" w:hAnsi="Arial"/>
              </w:rPr>
              <w:t>u.s.p</w:t>
            </w:r>
            <w:proofErr w:type="spellEnd"/>
            <w:r w:rsidRPr="00735D22">
              <w:rPr>
                <w:rFonts w:ascii="Arial" w:hAnsi="Arial"/>
              </w:rPr>
              <w:t>. poprzez dodanie ust. 1a do art. 61w brzmieniu, w którym jednoznacznie wskazuje się, że  małoletni zstępni nie są obowiązani do wnoszenia opłaty za pobyt mieszkańca domu w domu pomocy społecznej. Proponowana zmiana prawna będzie gwarantować, że wobec zstępnych osób małoletnich nie powstanie żadne zobowiązanie o charakterze majątkowym związane z pokrywaniem opłat za pobyt mieszkańca w domy pomocy społecznej</w:t>
            </w:r>
            <w:r>
              <w:rPr>
                <w:rFonts w:ascii="Arial" w:hAnsi="Arial"/>
              </w:rPr>
              <w:t xml:space="preserve"> a dzieci uzyskają prawną ochronę oraz wzmocnione zostanie ich bezpieczeństwo.</w:t>
            </w:r>
          </w:p>
          <w:p w14:paraId="799B5526" w14:textId="77777777" w:rsidR="009E1023" w:rsidRPr="0017371E" w:rsidRDefault="009E1023" w:rsidP="008B793E">
            <w:pPr>
              <w:pStyle w:val="NIEARTTEKSTtekstnieartykuowanynppodstprawnarozplubpreambua"/>
              <w:ind w:firstLine="0"/>
              <w:rPr>
                <w:rFonts w:ascii="Aptos" w:eastAsia="Times New Roman" w:hAnsi="Aptos" w:cs="Times New Roman"/>
                <w:color w:val="808080" w:themeColor="background1" w:themeShade="80"/>
                <w:sz w:val="20"/>
              </w:rPr>
            </w:pPr>
            <w:r w:rsidRPr="00A71C55">
              <w:rPr>
                <w:rFonts w:ascii="Arial" w:hAnsi="Arial"/>
              </w:rPr>
              <w:t>Przewiduje się, że projektowana ustawa wejdzie w życie po upływie 3 miesięcy od dnia ogłoszenia</w:t>
            </w:r>
            <w:r>
              <w:rPr>
                <w:rFonts w:ascii="Arial" w:hAnsi="Arial"/>
              </w:rPr>
              <w:t>, gdyż będzie to wystarczający czas wdrożenie zapisów ustawy.</w:t>
            </w:r>
          </w:p>
        </w:tc>
      </w:tr>
    </w:tbl>
    <w:p w14:paraId="4928DA6D" w14:textId="77777777" w:rsidR="009E1023" w:rsidRPr="009C37AF" w:rsidRDefault="009E1023" w:rsidP="009E1023">
      <w:pPr>
        <w:jc w:val="both"/>
        <w:rPr>
          <w:rFonts w:ascii="Arial" w:hAnsi="Arial" w:cs="Arial"/>
          <w:sz w:val="24"/>
        </w:rPr>
      </w:pPr>
    </w:p>
    <w:p w14:paraId="3F505107" w14:textId="77777777" w:rsidR="009E1023" w:rsidRDefault="009E1023" w:rsidP="009E1023">
      <w:pPr>
        <w:jc w:val="both"/>
        <w:rPr>
          <w:rFonts w:ascii="Arial" w:hAnsi="Arial" w:cs="Arial"/>
          <w:sz w:val="24"/>
        </w:rPr>
      </w:pPr>
      <w:r w:rsidRPr="009C37AF">
        <w:rPr>
          <w:rFonts w:ascii="Arial" w:hAnsi="Arial" w:cs="Arial"/>
          <w:sz w:val="24"/>
        </w:rPr>
        <w:t xml:space="preserve">[4] Jakie są </w:t>
      </w:r>
      <w:bookmarkStart w:id="2" w:name="_Hlk174443131"/>
      <w:r>
        <w:rPr>
          <w:rFonts w:ascii="Arial" w:hAnsi="Arial" w:cs="Arial"/>
          <w:sz w:val="24"/>
        </w:rPr>
        <w:t>przewidywane</w:t>
      </w:r>
      <w:bookmarkEnd w:id="2"/>
      <w:r w:rsidRPr="009C37AF">
        <w:rPr>
          <w:rFonts w:ascii="Arial" w:hAnsi="Arial" w:cs="Arial"/>
          <w:sz w:val="24"/>
        </w:rPr>
        <w:t xml:space="preserve"> skutki społeczne projektowanych rozwiązań?</w:t>
      </w:r>
    </w:p>
    <w:tbl>
      <w:tblPr>
        <w:tblStyle w:val="Tabela-Siatka"/>
        <w:tblW w:w="0" w:type="auto"/>
        <w:tblLook w:val="04A0" w:firstRow="1" w:lastRow="0" w:firstColumn="1" w:lastColumn="0" w:noHBand="0" w:noVBand="1"/>
      </w:tblPr>
      <w:tblGrid>
        <w:gridCol w:w="9060"/>
      </w:tblGrid>
      <w:tr w:rsidR="009E1023" w:rsidRPr="00E91DF0" w14:paraId="30E6CD82" w14:textId="77777777" w:rsidTr="008B793E">
        <w:tc>
          <w:tcPr>
            <w:tcW w:w="9062" w:type="dxa"/>
          </w:tcPr>
          <w:p w14:paraId="074153AF" w14:textId="77777777" w:rsidR="009E1023" w:rsidRPr="00307783" w:rsidRDefault="009E1023" w:rsidP="008B793E">
            <w:pPr>
              <w:spacing w:line="360" w:lineRule="auto"/>
              <w:jc w:val="both"/>
              <w:rPr>
                <w:rFonts w:ascii="Arial" w:hAnsi="Arial" w:cs="Arial"/>
                <w:color w:val="000000" w:themeColor="text1"/>
                <w:sz w:val="24"/>
                <w:szCs w:val="24"/>
              </w:rPr>
            </w:pPr>
            <w:r w:rsidRPr="00307783">
              <w:rPr>
                <w:rFonts w:ascii="Arial" w:hAnsi="Arial" w:cs="Arial"/>
                <w:color w:val="000000" w:themeColor="text1"/>
                <w:sz w:val="24"/>
                <w:szCs w:val="24"/>
              </w:rPr>
              <w:t>Projekt wpłynie pozytywnie na bezpieczeństwo finansowe małoletnich, przede wszystkim tych które znajdują się w szczególnej sytuacji życiowej. W obecnym stanie prawnym powstałe zobowiązanie często pokrywane jest z takiego majątku dziecka jak np. renta rodzinna, którą dziecko otrzymuje na skutek tragicznych doświadczeń jak śmierć jednego bądź obojga rodziców. Stawarza to realne ryzyko utraty lub uszczuplenia wystarczających środków na pokrycie uzasadnionych potrzeb dziecka.</w:t>
            </w:r>
          </w:p>
          <w:p w14:paraId="703427C1" w14:textId="77777777" w:rsidR="009E1023" w:rsidRPr="00307783" w:rsidRDefault="009E1023" w:rsidP="008B793E">
            <w:pPr>
              <w:spacing w:line="360" w:lineRule="auto"/>
              <w:jc w:val="both"/>
              <w:rPr>
                <w:rFonts w:ascii="Arial" w:hAnsi="Arial" w:cs="Arial"/>
                <w:color w:val="000000" w:themeColor="text1"/>
                <w:sz w:val="24"/>
                <w:szCs w:val="24"/>
              </w:rPr>
            </w:pPr>
          </w:p>
          <w:p w14:paraId="1BE60662" w14:textId="77777777" w:rsidR="009E1023" w:rsidRPr="00307783" w:rsidRDefault="009E1023" w:rsidP="008B793E">
            <w:pPr>
              <w:spacing w:line="360" w:lineRule="auto"/>
              <w:jc w:val="both"/>
              <w:rPr>
                <w:rFonts w:ascii="Arial" w:hAnsi="Arial" w:cs="Arial"/>
                <w:color w:val="000000" w:themeColor="text1"/>
                <w:sz w:val="24"/>
                <w:szCs w:val="24"/>
              </w:rPr>
            </w:pPr>
            <w:r w:rsidRPr="00307783">
              <w:rPr>
                <w:rFonts w:ascii="Arial" w:hAnsi="Arial" w:cs="Arial"/>
                <w:color w:val="000000" w:themeColor="text1"/>
                <w:sz w:val="24"/>
                <w:szCs w:val="24"/>
              </w:rPr>
              <w:t>Wobec dzieci nie będą powstawać zobowiązania majątkowe często na rzecz mieszkańców domów pomocy społecznej, z którymi nie mieli żadnych więzi. Obecny bowiem stan prawny nie przewiduje jakichkolwiek wyjątków, toteż dziecko może zostać zobowiązane do pokrycia kosztów pobytu w domy pomocy społecznej krewnego, którego nawet nie zna.</w:t>
            </w:r>
          </w:p>
          <w:p w14:paraId="628FAD66" w14:textId="77777777" w:rsidR="009E1023" w:rsidRPr="00307783" w:rsidRDefault="009E1023" w:rsidP="008B793E">
            <w:pPr>
              <w:spacing w:line="360" w:lineRule="auto"/>
              <w:jc w:val="both"/>
              <w:rPr>
                <w:rFonts w:ascii="Arial" w:hAnsi="Arial" w:cs="Arial"/>
                <w:color w:val="000000" w:themeColor="text1"/>
                <w:sz w:val="24"/>
                <w:szCs w:val="24"/>
              </w:rPr>
            </w:pPr>
          </w:p>
          <w:p w14:paraId="3CFC0D0E" w14:textId="77777777" w:rsidR="009E1023" w:rsidRPr="00307783" w:rsidRDefault="009E1023" w:rsidP="008B793E">
            <w:pPr>
              <w:spacing w:line="360" w:lineRule="auto"/>
              <w:jc w:val="both"/>
              <w:rPr>
                <w:rFonts w:ascii="Arial" w:hAnsi="Arial" w:cs="Arial"/>
                <w:color w:val="000000" w:themeColor="text1"/>
                <w:sz w:val="24"/>
                <w:szCs w:val="24"/>
              </w:rPr>
            </w:pPr>
            <w:r w:rsidRPr="00307783">
              <w:rPr>
                <w:rFonts w:ascii="Arial" w:hAnsi="Arial" w:cs="Arial"/>
                <w:color w:val="000000" w:themeColor="text1"/>
                <w:sz w:val="24"/>
                <w:szCs w:val="24"/>
              </w:rPr>
              <w:t>Projekt ustawy doprowadzi do sytuacji, w której dzieci będą posiadać poczucie bezpieczeństwa, stabilności.</w:t>
            </w:r>
          </w:p>
          <w:p w14:paraId="2C8D9440" w14:textId="77777777" w:rsidR="009E1023" w:rsidRPr="00307783" w:rsidRDefault="009E1023" w:rsidP="008B793E">
            <w:pPr>
              <w:spacing w:line="360" w:lineRule="auto"/>
              <w:jc w:val="both"/>
              <w:rPr>
                <w:rFonts w:ascii="Arial" w:hAnsi="Arial" w:cs="Arial"/>
                <w:color w:val="000000" w:themeColor="text1"/>
                <w:sz w:val="24"/>
                <w:szCs w:val="24"/>
              </w:rPr>
            </w:pPr>
          </w:p>
          <w:p w14:paraId="4E7D1DA3" w14:textId="77777777" w:rsidR="009E1023" w:rsidRPr="00AA5FA8" w:rsidRDefault="009E1023" w:rsidP="008B793E">
            <w:pPr>
              <w:spacing w:line="360" w:lineRule="auto"/>
              <w:jc w:val="both"/>
              <w:rPr>
                <w:rFonts w:ascii="Arial" w:hAnsi="Arial" w:cs="Arial"/>
                <w:color w:val="808080" w:themeColor="background1" w:themeShade="80"/>
                <w:sz w:val="20"/>
                <w:szCs w:val="20"/>
              </w:rPr>
            </w:pPr>
            <w:r w:rsidRPr="00307783">
              <w:rPr>
                <w:rFonts w:ascii="Arial" w:hAnsi="Arial" w:cs="Arial"/>
                <w:color w:val="000000" w:themeColor="text1"/>
                <w:sz w:val="24"/>
                <w:szCs w:val="24"/>
              </w:rPr>
              <w:t>Skutki społeczne są zdecydowanie pozytywne a zmiana prawna w tym obszarze jest niezwykle mocno oczekiwana społecznie.</w:t>
            </w:r>
          </w:p>
        </w:tc>
      </w:tr>
    </w:tbl>
    <w:p w14:paraId="2166BF28" w14:textId="77777777" w:rsidR="009E1023" w:rsidRDefault="009E1023" w:rsidP="009E1023">
      <w:pPr>
        <w:jc w:val="both"/>
        <w:rPr>
          <w:rFonts w:ascii="Arial" w:hAnsi="Arial" w:cs="Arial"/>
          <w:sz w:val="24"/>
        </w:rPr>
      </w:pPr>
    </w:p>
    <w:p w14:paraId="3E0862E8" w14:textId="77777777" w:rsidR="009E1023" w:rsidRDefault="009E1023" w:rsidP="009E1023">
      <w:pPr>
        <w:jc w:val="both"/>
        <w:rPr>
          <w:rFonts w:ascii="Arial" w:hAnsi="Arial" w:cs="Arial"/>
          <w:sz w:val="24"/>
        </w:rPr>
      </w:pPr>
    </w:p>
    <w:p w14:paraId="7DC02D94" w14:textId="77777777" w:rsidR="009E1023" w:rsidRDefault="009E1023" w:rsidP="009E1023">
      <w:pPr>
        <w:jc w:val="both"/>
        <w:rPr>
          <w:rFonts w:ascii="Arial" w:hAnsi="Arial" w:cs="Arial"/>
          <w:sz w:val="24"/>
        </w:rPr>
      </w:pPr>
      <w:r w:rsidRPr="009C37AF">
        <w:rPr>
          <w:rFonts w:ascii="Arial" w:hAnsi="Arial" w:cs="Arial"/>
          <w:sz w:val="24"/>
        </w:rPr>
        <w:lastRenderedPageBreak/>
        <w:t xml:space="preserve">[5] Jakie są </w:t>
      </w:r>
      <w:r>
        <w:rPr>
          <w:rFonts w:ascii="Arial" w:hAnsi="Arial" w:cs="Arial"/>
          <w:sz w:val="24"/>
        </w:rPr>
        <w:t>przewidywane</w:t>
      </w:r>
      <w:r w:rsidRPr="009C37AF">
        <w:rPr>
          <w:rFonts w:ascii="Arial" w:hAnsi="Arial" w:cs="Arial"/>
          <w:sz w:val="24"/>
        </w:rPr>
        <w:t xml:space="preserve"> skutki gospodarcze projektowanych rozwiązań?</w:t>
      </w:r>
    </w:p>
    <w:p w14:paraId="50A194FB" w14:textId="77777777" w:rsidR="009E1023" w:rsidRPr="00735D22" w:rsidRDefault="009E1023" w:rsidP="009E1023">
      <w:pPr>
        <w:pBdr>
          <w:top w:val="single" w:sz="4" w:space="1" w:color="auto"/>
          <w:left w:val="single" w:sz="4" w:space="0" w:color="auto"/>
          <w:bottom w:val="single" w:sz="4" w:space="1" w:color="auto"/>
          <w:right w:val="single" w:sz="4" w:space="4" w:color="auto"/>
        </w:pBdr>
        <w:jc w:val="both"/>
        <w:rPr>
          <w:rFonts w:ascii="Arial" w:hAnsi="Arial" w:cs="Arial"/>
          <w:color w:val="000000" w:themeColor="text1"/>
          <w:sz w:val="24"/>
          <w:szCs w:val="24"/>
        </w:rPr>
      </w:pPr>
      <w:r w:rsidRPr="00735D22">
        <w:rPr>
          <w:rFonts w:ascii="Arial" w:hAnsi="Arial" w:cs="Arial"/>
          <w:color w:val="000000" w:themeColor="text1"/>
          <w:sz w:val="24"/>
          <w:szCs w:val="24"/>
        </w:rPr>
        <w:t>Projekt ustawy nie ma wpływu na sferę gospodarki.</w:t>
      </w:r>
    </w:p>
    <w:p w14:paraId="61DD31BB" w14:textId="77777777" w:rsidR="009E1023" w:rsidRDefault="009E1023" w:rsidP="009E1023">
      <w:pPr>
        <w:pBdr>
          <w:top w:val="single" w:sz="4" w:space="1" w:color="auto"/>
          <w:left w:val="single" w:sz="4" w:space="0" w:color="auto"/>
          <w:bottom w:val="single" w:sz="4" w:space="1" w:color="auto"/>
          <w:right w:val="single" w:sz="4" w:space="4" w:color="auto"/>
        </w:pBdr>
        <w:jc w:val="both"/>
        <w:rPr>
          <w:rFonts w:ascii="Arial" w:hAnsi="Arial" w:cs="Arial"/>
          <w:color w:val="808080" w:themeColor="background1" w:themeShade="80"/>
          <w:sz w:val="20"/>
          <w:szCs w:val="20"/>
        </w:rPr>
      </w:pPr>
    </w:p>
    <w:p w14:paraId="7DC9B6E2" w14:textId="77777777" w:rsidR="009E1023" w:rsidRDefault="009E1023" w:rsidP="009E1023">
      <w:pPr>
        <w:jc w:val="both"/>
        <w:rPr>
          <w:rFonts w:ascii="Arial" w:hAnsi="Arial" w:cs="Arial"/>
          <w:sz w:val="24"/>
        </w:rPr>
      </w:pPr>
    </w:p>
    <w:p w14:paraId="468B76B6" w14:textId="77777777" w:rsidR="009E1023" w:rsidRDefault="009E1023" w:rsidP="009E1023">
      <w:pPr>
        <w:jc w:val="both"/>
        <w:rPr>
          <w:rFonts w:ascii="Arial" w:hAnsi="Arial" w:cs="Arial"/>
          <w:sz w:val="24"/>
        </w:rPr>
      </w:pPr>
      <w:r w:rsidRPr="00307783">
        <w:rPr>
          <w:rFonts w:ascii="Arial" w:hAnsi="Arial" w:cs="Arial"/>
          <w:sz w:val="24"/>
        </w:rPr>
        <w:t>[6] Jakie są przewidywane skutki finansowe projektowanych rozwiązań, w szczególności wpływ na sektor finansów publicznych, w tym na budżet państwa i budżety jednostek samorządu terytorialnego?</w:t>
      </w:r>
    </w:p>
    <w:tbl>
      <w:tblPr>
        <w:tblStyle w:val="Tabela-Siatka"/>
        <w:tblW w:w="0" w:type="auto"/>
        <w:tblLook w:val="04A0" w:firstRow="1" w:lastRow="0" w:firstColumn="1" w:lastColumn="0" w:noHBand="0" w:noVBand="1"/>
      </w:tblPr>
      <w:tblGrid>
        <w:gridCol w:w="9060"/>
      </w:tblGrid>
      <w:tr w:rsidR="009E1023" w14:paraId="29C062DE" w14:textId="77777777" w:rsidTr="008B793E">
        <w:tc>
          <w:tcPr>
            <w:tcW w:w="9062" w:type="dxa"/>
          </w:tcPr>
          <w:p w14:paraId="6F56030C" w14:textId="77777777" w:rsidR="009E1023" w:rsidRPr="00F56187" w:rsidRDefault="009E1023" w:rsidP="008B793E">
            <w:pPr>
              <w:pStyle w:val="Bezodstpw"/>
              <w:rPr>
                <w:rFonts w:ascii="Arial" w:hAnsi="Arial" w:cs="Arial"/>
                <w:sz w:val="24"/>
                <w:szCs w:val="24"/>
              </w:rPr>
            </w:pPr>
            <w:r w:rsidRPr="00F56187">
              <w:rPr>
                <w:rFonts w:ascii="Arial" w:hAnsi="Arial" w:cs="Arial"/>
                <w:sz w:val="24"/>
                <w:szCs w:val="24"/>
              </w:rPr>
              <w:t>Projekt nie pociąga za sobą skutków finansowych dla budżetu Państwa.</w:t>
            </w:r>
          </w:p>
          <w:p w14:paraId="51BFE8E1" w14:textId="77777777" w:rsidR="009E1023" w:rsidRDefault="009E1023" w:rsidP="008B793E">
            <w:pPr>
              <w:spacing w:before="240" w:line="276" w:lineRule="auto"/>
              <w:jc w:val="both"/>
              <w:rPr>
                <w:rFonts w:ascii="Arial" w:hAnsi="Arial" w:cs="Arial"/>
                <w:color w:val="333333"/>
                <w:sz w:val="24"/>
                <w:szCs w:val="24"/>
                <w:shd w:val="clear" w:color="auto" w:fill="FFFFFF"/>
              </w:rPr>
            </w:pPr>
            <w:r w:rsidRPr="00A059CE">
              <w:rPr>
                <w:rFonts w:ascii="Arial" w:eastAsia="Arial" w:hAnsi="Arial" w:cs="Arial"/>
                <w:sz w:val="24"/>
                <w:szCs w:val="24"/>
              </w:rPr>
              <w:t xml:space="preserve">Projekt zakłada możliwe skutki finansowe dla jednostek samorządu terytorialnego, aktualizujące się w sytuacji gdy </w:t>
            </w:r>
            <w:r w:rsidRPr="00A059CE">
              <w:rPr>
                <w:rFonts w:ascii="Arial" w:hAnsi="Arial" w:cs="Arial"/>
                <w:color w:val="333333"/>
                <w:sz w:val="24"/>
                <w:szCs w:val="24"/>
                <w:shd w:val="clear" w:color="auto" w:fill="FFFFFF"/>
              </w:rPr>
              <w:t>gmina, z której osoba została skierowana do domu pomocy społecznej</w:t>
            </w:r>
            <w:r>
              <w:rPr>
                <w:rFonts w:ascii="Arial" w:hAnsi="Arial" w:cs="Arial"/>
                <w:color w:val="333333"/>
                <w:sz w:val="24"/>
                <w:szCs w:val="24"/>
                <w:shd w:val="clear" w:color="auto" w:fill="FFFFFF"/>
              </w:rPr>
              <w:t>, będzie ponosić opłaty za pobyt ww. osoby w tymże domu z uwagi na brak możliwości obciążenia nimi małoletnich zstępnych.</w:t>
            </w:r>
          </w:p>
          <w:p w14:paraId="4A55F3F4" w14:textId="77777777" w:rsidR="009E1023" w:rsidRDefault="009E1023" w:rsidP="008B793E">
            <w:pPr>
              <w:spacing w:before="240" w:line="276" w:lineRule="auto"/>
              <w:jc w:val="both"/>
              <w:rPr>
                <w:rFonts w:ascii="Arial" w:hAnsi="Arial" w:cs="Arial"/>
                <w:color w:val="333333"/>
                <w:sz w:val="24"/>
                <w:szCs w:val="24"/>
                <w:shd w:val="clear" w:color="auto" w:fill="FFFFFF"/>
              </w:rPr>
            </w:pPr>
          </w:p>
          <w:p w14:paraId="5E7CA6EA" w14:textId="77777777" w:rsidR="009E1023" w:rsidRDefault="009E1023" w:rsidP="008B793E">
            <w:pPr>
              <w:jc w:val="both"/>
              <w:rPr>
                <w:rFonts w:ascii="Arial" w:hAnsi="Arial" w:cs="Arial"/>
                <w:sz w:val="24"/>
              </w:rPr>
            </w:pPr>
            <w:r>
              <w:rPr>
                <w:rFonts w:ascii="Arial" w:hAnsi="Arial" w:cs="Arial"/>
                <w:sz w:val="24"/>
              </w:rPr>
              <w:t>Nie uzyskano danych statystycznych na temat przewidywanej liczby tego rodzaju przypadków. W ocenie projektodawcy są to sytuacje  jednostkowe, tym niemniej z uwagi na istotność problemu, w tym również naruszanie zasady ochrony małoletnich, niedyskryminacji - wymagające pilnej interwencji ustawodawcy. Ewentualne skutki finansowe nie mogą stanąć na przeszkodzie wprowadzeniu projektowanego przepisu także przy uwzględnieniu zasady ważenie dóbr, z którymi mamy tutaj do czynienia.</w:t>
            </w:r>
          </w:p>
          <w:p w14:paraId="6F1C3F96" w14:textId="77777777" w:rsidR="009E1023" w:rsidRDefault="009E1023" w:rsidP="008B793E">
            <w:pPr>
              <w:jc w:val="both"/>
              <w:rPr>
                <w:rFonts w:ascii="Arial" w:hAnsi="Arial" w:cs="Arial"/>
                <w:sz w:val="24"/>
              </w:rPr>
            </w:pPr>
          </w:p>
        </w:tc>
      </w:tr>
    </w:tbl>
    <w:p w14:paraId="549D9E69" w14:textId="77777777" w:rsidR="009E1023" w:rsidRPr="009C37AF" w:rsidRDefault="009E1023" w:rsidP="009E1023">
      <w:pPr>
        <w:jc w:val="both"/>
        <w:rPr>
          <w:rFonts w:ascii="Arial" w:hAnsi="Arial" w:cs="Arial"/>
          <w:sz w:val="24"/>
        </w:rPr>
      </w:pPr>
    </w:p>
    <w:p w14:paraId="3DD31216" w14:textId="77777777" w:rsidR="009E1023" w:rsidRDefault="009E1023" w:rsidP="009E1023">
      <w:pPr>
        <w:jc w:val="both"/>
        <w:rPr>
          <w:rFonts w:ascii="Arial" w:hAnsi="Arial" w:cs="Arial"/>
          <w:sz w:val="24"/>
        </w:rPr>
      </w:pPr>
      <w:r w:rsidRPr="00307783">
        <w:rPr>
          <w:rFonts w:ascii="Arial" w:hAnsi="Arial" w:cs="Arial"/>
          <w:sz w:val="24"/>
        </w:rPr>
        <w:t>[7] Wykaz źródeł finansowania, jeśli projekt ustawy pociąga za sobą obciążenie budżetu państwa lub budżetów jednostek samorządu terytorialnego.</w:t>
      </w:r>
    </w:p>
    <w:tbl>
      <w:tblPr>
        <w:tblStyle w:val="Tabela-Siatka"/>
        <w:tblW w:w="0" w:type="auto"/>
        <w:tblLook w:val="04A0" w:firstRow="1" w:lastRow="0" w:firstColumn="1" w:lastColumn="0" w:noHBand="0" w:noVBand="1"/>
      </w:tblPr>
      <w:tblGrid>
        <w:gridCol w:w="9060"/>
      </w:tblGrid>
      <w:tr w:rsidR="009E1023" w14:paraId="24AD777B" w14:textId="77777777" w:rsidTr="008B793E">
        <w:tc>
          <w:tcPr>
            <w:tcW w:w="9062" w:type="dxa"/>
          </w:tcPr>
          <w:p w14:paraId="6569BE11" w14:textId="77777777" w:rsidR="009E1023" w:rsidRDefault="009E1023" w:rsidP="008B793E">
            <w:pPr>
              <w:jc w:val="both"/>
              <w:rPr>
                <w:rFonts w:ascii="Arial" w:hAnsi="Arial" w:cs="Arial"/>
                <w:sz w:val="24"/>
              </w:rPr>
            </w:pPr>
            <w:r w:rsidRPr="00F56187">
              <w:rPr>
                <w:rFonts w:ascii="Arial" w:eastAsia="Arial" w:hAnsi="Arial" w:cs="Arial"/>
                <w:sz w:val="24"/>
                <w:szCs w:val="24"/>
              </w:rPr>
              <w:t>Projekt nie pociąga za sobą obciążenia budżetu państwa. Projekt czyni koniecznym korektę przez jednostki samorządu terytorialnego swoich budżetów w 2026 r., poprzez zapewnienie dostępności środków na ponoszenie opłat za pobyt osób kierowanych do domów pomocy społecznej w miejsce małoletnich zstępnych.</w:t>
            </w:r>
          </w:p>
        </w:tc>
      </w:tr>
    </w:tbl>
    <w:p w14:paraId="2DCD7357" w14:textId="77777777" w:rsidR="009E1023" w:rsidRPr="009C37AF" w:rsidRDefault="009E1023" w:rsidP="009E1023">
      <w:pPr>
        <w:jc w:val="both"/>
        <w:rPr>
          <w:rFonts w:ascii="Arial" w:hAnsi="Arial" w:cs="Arial"/>
          <w:sz w:val="24"/>
        </w:rPr>
      </w:pPr>
    </w:p>
    <w:p w14:paraId="3DCE9949" w14:textId="77777777" w:rsidR="009E1023" w:rsidRPr="009C37AF" w:rsidRDefault="009E1023" w:rsidP="009E1023">
      <w:pPr>
        <w:rPr>
          <w:rFonts w:ascii="Arial" w:hAnsi="Arial" w:cs="Arial"/>
          <w:sz w:val="24"/>
        </w:rPr>
      </w:pPr>
      <w:r w:rsidRPr="009C37AF">
        <w:rPr>
          <w:rFonts w:ascii="Arial" w:hAnsi="Arial" w:cs="Arial"/>
          <w:sz w:val="24"/>
        </w:rPr>
        <w:t>[8] Czy projekt ustawy podlega procedurze notyfikacyjnej?</w:t>
      </w:r>
      <w:r>
        <w:rPr>
          <w:rFonts w:ascii="Arial" w:hAnsi="Arial" w:cs="Arial"/>
          <w:sz w:val="24"/>
        </w:rPr>
        <w:t xml:space="preserve"> </w:t>
      </w:r>
    </w:p>
    <w:p w14:paraId="39DB66B4" w14:textId="77777777" w:rsidR="009E1023" w:rsidRPr="001F52F0" w:rsidRDefault="009E1023" w:rsidP="009E1023">
      <w:pPr>
        <w:pStyle w:val="Akapitzlist"/>
        <w:numPr>
          <w:ilvl w:val="0"/>
          <w:numId w:val="1"/>
        </w:numPr>
        <w:spacing w:line="240" w:lineRule="auto"/>
        <w:jc w:val="both"/>
        <w:rPr>
          <w:rFonts w:ascii="Arial" w:hAnsi="Arial" w:cs="Arial"/>
          <w:b/>
          <w:bCs/>
          <w:sz w:val="24"/>
          <w:u w:val="single"/>
        </w:rPr>
      </w:pPr>
      <w:r w:rsidRPr="001F52F0">
        <w:rPr>
          <w:rFonts w:ascii="Arial" w:hAnsi="Arial" w:cs="Arial"/>
          <w:b/>
          <w:bCs/>
          <w:sz w:val="24"/>
          <w:u w:val="single"/>
        </w:rPr>
        <w:t xml:space="preserve">Nie </w:t>
      </w:r>
    </w:p>
    <w:p w14:paraId="30FFD16C" w14:textId="77777777" w:rsidR="009E1023" w:rsidRPr="0017371E" w:rsidRDefault="009E1023" w:rsidP="009E1023">
      <w:pPr>
        <w:spacing w:line="240" w:lineRule="auto"/>
        <w:ind w:left="360"/>
        <w:jc w:val="both"/>
        <w:rPr>
          <w:rFonts w:ascii="Arial" w:hAnsi="Arial" w:cs="Arial"/>
          <w:sz w:val="24"/>
        </w:rPr>
      </w:pPr>
      <w:r w:rsidRPr="0017371E">
        <w:rPr>
          <w:rFonts w:ascii="Arial" w:hAnsi="Arial" w:cs="Arial"/>
          <w:sz w:val="24"/>
        </w:rPr>
        <w:t>Tak, ponieważ:</w:t>
      </w:r>
    </w:p>
    <w:p w14:paraId="6111E164" w14:textId="77777777" w:rsidR="009E1023" w:rsidRDefault="009E1023" w:rsidP="009E1023">
      <w:pPr>
        <w:pStyle w:val="Akapitzlist"/>
        <w:numPr>
          <w:ilvl w:val="0"/>
          <w:numId w:val="1"/>
        </w:numPr>
        <w:spacing w:line="240" w:lineRule="auto"/>
        <w:jc w:val="both"/>
        <w:rPr>
          <w:rFonts w:ascii="Arial" w:hAnsi="Arial" w:cs="Arial"/>
          <w:sz w:val="24"/>
        </w:rPr>
      </w:pPr>
      <w:r w:rsidRPr="0017371E">
        <w:rPr>
          <w:rFonts w:ascii="Arial" w:hAnsi="Arial" w:cs="Arial"/>
          <w:sz w:val="24"/>
        </w:rPr>
        <w:t>określa plan przyznania lub zmiany pomocy państwa (art. 108 ust. 3 T</w:t>
      </w:r>
      <w:r>
        <w:rPr>
          <w:rFonts w:ascii="Arial" w:hAnsi="Arial" w:cs="Arial"/>
          <w:sz w:val="24"/>
        </w:rPr>
        <w:t>raktatu o </w:t>
      </w:r>
      <w:r w:rsidRPr="0017371E">
        <w:rPr>
          <w:rFonts w:ascii="Arial" w:hAnsi="Arial" w:cs="Arial"/>
          <w:sz w:val="24"/>
        </w:rPr>
        <w:t>f</w:t>
      </w:r>
      <w:r>
        <w:rPr>
          <w:rFonts w:ascii="Arial" w:hAnsi="Arial" w:cs="Arial"/>
          <w:sz w:val="24"/>
        </w:rPr>
        <w:t xml:space="preserve">unkcjonowaniu </w:t>
      </w:r>
      <w:r w:rsidRPr="0017371E">
        <w:rPr>
          <w:rFonts w:ascii="Arial" w:hAnsi="Arial" w:cs="Arial"/>
          <w:sz w:val="24"/>
        </w:rPr>
        <w:t>U</w:t>
      </w:r>
      <w:r>
        <w:rPr>
          <w:rFonts w:ascii="Arial" w:hAnsi="Arial" w:cs="Arial"/>
          <w:sz w:val="24"/>
        </w:rPr>
        <w:t xml:space="preserve">nii </w:t>
      </w:r>
      <w:r w:rsidRPr="0017371E">
        <w:rPr>
          <w:rFonts w:ascii="Arial" w:hAnsi="Arial" w:cs="Arial"/>
          <w:sz w:val="24"/>
        </w:rPr>
        <w:t>E</w:t>
      </w:r>
      <w:r>
        <w:rPr>
          <w:rFonts w:ascii="Arial" w:hAnsi="Arial" w:cs="Arial"/>
          <w:sz w:val="24"/>
        </w:rPr>
        <w:t>uropejskiej</w:t>
      </w:r>
      <w:r w:rsidRPr="0017371E">
        <w:rPr>
          <w:rFonts w:ascii="Arial" w:hAnsi="Arial" w:cs="Arial"/>
          <w:sz w:val="24"/>
        </w:rPr>
        <w:t>);</w:t>
      </w:r>
    </w:p>
    <w:p w14:paraId="0600AC46" w14:textId="77777777" w:rsidR="009E1023" w:rsidRDefault="009E1023" w:rsidP="009E1023">
      <w:pPr>
        <w:pStyle w:val="Akapitzlist"/>
        <w:numPr>
          <w:ilvl w:val="0"/>
          <w:numId w:val="1"/>
        </w:numPr>
        <w:spacing w:line="240" w:lineRule="auto"/>
        <w:jc w:val="both"/>
        <w:rPr>
          <w:rFonts w:ascii="Arial" w:hAnsi="Arial" w:cs="Arial"/>
          <w:sz w:val="24"/>
        </w:rPr>
      </w:pPr>
      <w:r w:rsidRPr="0017371E">
        <w:rPr>
          <w:rFonts w:ascii="Arial" w:hAnsi="Arial" w:cs="Arial"/>
          <w:sz w:val="24"/>
        </w:rPr>
        <w:t>zawiera przepisy techniczne (dyrektywa (UE) 1535/2015);</w:t>
      </w:r>
    </w:p>
    <w:p w14:paraId="62DD9EF8" w14:textId="77777777" w:rsidR="009E1023" w:rsidRDefault="009E1023" w:rsidP="009E1023">
      <w:pPr>
        <w:pStyle w:val="Akapitzlist"/>
        <w:numPr>
          <w:ilvl w:val="0"/>
          <w:numId w:val="1"/>
        </w:numPr>
        <w:spacing w:line="240" w:lineRule="auto"/>
        <w:jc w:val="both"/>
        <w:rPr>
          <w:rFonts w:ascii="Arial" w:hAnsi="Arial" w:cs="Arial"/>
          <w:sz w:val="24"/>
        </w:rPr>
      </w:pPr>
      <w:r w:rsidRPr="0017371E">
        <w:rPr>
          <w:rFonts w:ascii="Arial" w:hAnsi="Arial" w:cs="Arial"/>
          <w:sz w:val="24"/>
        </w:rPr>
        <w:t xml:space="preserve">dotyczy dziedziny podlegającej kompetencji Europejskiego Banku Centralnego (art. 127 ust. 4 </w:t>
      </w:r>
      <w:proofErr w:type="spellStart"/>
      <w:r w:rsidRPr="0017371E">
        <w:rPr>
          <w:rFonts w:ascii="Arial" w:hAnsi="Arial" w:cs="Arial"/>
          <w:sz w:val="24"/>
        </w:rPr>
        <w:t>tiret</w:t>
      </w:r>
      <w:proofErr w:type="spellEnd"/>
      <w:r w:rsidRPr="0017371E">
        <w:rPr>
          <w:rFonts w:ascii="Arial" w:hAnsi="Arial" w:cs="Arial"/>
          <w:sz w:val="24"/>
        </w:rPr>
        <w:t xml:space="preserve"> drugie </w:t>
      </w:r>
      <w:proofErr w:type="spellStart"/>
      <w:r w:rsidRPr="0017371E">
        <w:rPr>
          <w:rFonts w:ascii="Arial" w:hAnsi="Arial" w:cs="Arial"/>
          <w:sz w:val="24"/>
        </w:rPr>
        <w:t>TfUE</w:t>
      </w:r>
      <w:proofErr w:type="spellEnd"/>
      <w:r w:rsidRPr="0017371E">
        <w:rPr>
          <w:rFonts w:ascii="Arial" w:hAnsi="Arial" w:cs="Arial"/>
          <w:sz w:val="24"/>
        </w:rPr>
        <w:t>);</w:t>
      </w:r>
    </w:p>
    <w:p w14:paraId="6B286A01" w14:textId="77777777" w:rsidR="009E1023" w:rsidRDefault="009E1023" w:rsidP="009E1023">
      <w:pPr>
        <w:pStyle w:val="Akapitzlist"/>
        <w:numPr>
          <w:ilvl w:val="0"/>
          <w:numId w:val="1"/>
        </w:numPr>
        <w:spacing w:line="240" w:lineRule="auto"/>
        <w:jc w:val="both"/>
        <w:rPr>
          <w:rFonts w:ascii="Arial" w:hAnsi="Arial" w:cs="Arial"/>
          <w:sz w:val="24"/>
        </w:rPr>
      </w:pPr>
      <w:r w:rsidRPr="0017371E">
        <w:rPr>
          <w:rFonts w:ascii="Arial" w:hAnsi="Arial" w:cs="Arial"/>
          <w:sz w:val="24"/>
        </w:rPr>
        <w:t>ma zastosowanie do usług świadczonych przez usługodawców (dyrektywa 2006/123/WE);</w:t>
      </w:r>
    </w:p>
    <w:p w14:paraId="0877A75F" w14:textId="77777777" w:rsidR="009E1023" w:rsidRDefault="009E1023" w:rsidP="009E1023">
      <w:pPr>
        <w:pStyle w:val="Akapitzlist"/>
        <w:numPr>
          <w:ilvl w:val="0"/>
          <w:numId w:val="1"/>
        </w:numPr>
        <w:spacing w:line="240" w:lineRule="auto"/>
        <w:jc w:val="both"/>
        <w:rPr>
          <w:rFonts w:ascii="Arial" w:hAnsi="Arial" w:cs="Arial"/>
          <w:sz w:val="24"/>
        </w:rPr>
      </w:pPr>
      <w:r w:rsidRPr="0017371E">
        <w:rPr>
          <w:rFonts w:ascii="Arial" w:hAnsi="Arial" w:cs="Arial"/>
          <w:sz w:val="24"/>
        </w:rPr>
        <w:t>dotyczy innych niż wymienione wyżej dziedzin objętych procedurą notyfikacyjną.</w:t>
      </w:r>
    </w:p>
    <w:p w14:paraId="715C967D" w14:textId="77777777" w:rsidR="009E1023" w:rsidRPr="0017371E" w:rsidRDefault="009E1023" w:rsidP="009E1023">
      <w:pPr>
        <w:pStyle w:val="Akapitzlist"/>
        <w:spacing w:line="240" w:lineRule="auto"/>
        <w:jc w:val="both"/>
        <w:rPr>
          <w:rFonts w:ascii="Arial" w:hAnsi="Arial" w:cs="Arial"/>
          <w:sz w:val="24"/>
        </w:rPr>
      </w:pPr>
    </w:p>
    <w:tbl>
      <w:tblPr>
        <w:tblStyle w:val="Tabela-Siatka"/>
        <w:tblW w:w="0" w:type="auto"/>
        <w:tblLook w:val="04A0" w:firstRow="1" w:lastRow="0" w:firstColumn="1" w:lastColumn="0" w:noHBand="0" w:noVBand="1"/>
      </w:tblPr>
      <w:tblGrid>
        <w:gridCol w:w="9060"/>
      </w:tblGrid>
      <w:tr w:rsidR="009E1023" w14:paraId="0052E0A8" w14:textId="77777777" w:rsidTr="008B793E">
        <w:tc>
          <w:tcPr>
            <w:tcW w:w="9062" w:type="dxa"/>
          </w:tcPr>
          <w:p w14:paraId="08063558" w14:textId="77777777" w:rsidR="009E1023" w:rsidRDefault="009E1023" w:rsidP="008B793E">
            <w:pPr>
              <w:autoSpaceDE w:val="0"/>
              <w:autoSpaceDN w:val="0"/>
              <w:adjustRightInd w:val="0"/>
              <w:rPr>
                <w:rFonts w:ascii="Arial" w:hAnsi="Arial" w:cs="Arial"/>
                <w:color w:val="808080"/>
                <w:kern w:val="0"/>
                <w:sz w:val="20"/>
                <w:szCs w:val="20"/>
              </w:rPr>
            </w:pPr>
            <w:r w:rsidRPr="00C67899">
              <w:rPr>
                <w:rFonts w:ascii="Arial" w:hAnsi="Arial" w:cs="Arial"/>
                <w:color w:val="808080"/>
                <w:kern w:val="0"/>
                <w:sz w:val="20"/>
                <w:szCs w:val="20"/>
              </w:rPr>
              <w:t>Uzasadnienie projektu ustawy wiąże się z koniecznością odpowiedzi na pytanie</w:t>
            </w:r>
            <w:r>
              <w:rPr>
                <w:rFonts w:ascii="Arial" w:hAnsi="Arial" w:cs="Arial"/>
                <w:color w:val="808080"/>
                <w:kern w:val="0"/>
                <w:sz w:val="20"/>
                <w:szCs w:val="20"/>
              </w:rPr>
              <w:t>,</w:t>
            </w:r>
            <w:r w:rsidRPr="00C67899">
              <w:rPr>
                <w:rFonts w:ascii="Arial" w:hAnsi="Arial" w:cs="Arial"/>
                <w:color w:val="808080"/>
                <w:kern w:val="0"/>
                <w:sz w:val="20"/>
                <w:szCs w:val="20"/>
              </w:rPr>
              <w:t xml:space="preserve"> czy projekt podlega obowiązkom notyfikacyjnym wynikającym z prawa UE. Jeśli projekt ustawy objęty jest </w:t>
            </w:r>
            <w:r w:rsidRPr="00C67899">
              <w:rPr>
                <w:rFonts w:ascii="Arial" w:hAnsi="Arial" w:cs="Arial"/>
                <w:color w:val="808080"/>
                <w:kern w:val="0"/>
                <w:sz w:val="20"/>
                <w:szCs w:val="20"/>
              </w:rPr>
              <w:lastRenderedPageBreak/>
              <w:t>procedurą notyfikacyjną, wymagane jest skompletowanie przez wnioskodawcę określonej w prawie UE dokumentacji notyfikacyjnej</w:t>
            </w:r>
            <w:r>
              <w:rPr>
                <w:rFonts w:ascii="Arial" w:hAnsi="Arial" w:cs="Arial"/>
                <w:color w:val="808080"/>
                <w:kern w:val="0"/>
                <w:sz w:val="20"/>
                <w:szCs w:val="20"/>
              </w:rPr>
              <w:t>.</w:t>
            </w:r>
          </w:p>
          <w:p w14:paraId="7139353A" w14:textId="77777777" w:rsidR="009E1023" w:rsidRDefault="009E1023" w:rsidP="008B793E">
            <w:pPr>
              <w:autoSpaceDE w:val="0"/>
              <w:autoSpaceDN w:val="0"/>
              <w:adjustRightInd w:val="0"/>
              <w:rPr>
                <w:rFonts w:ascii="Arial" w:hAnsi="Arial" w:cs="Arial"/>
                <w:color w:val="808080"/>
                <w:kern w:val="0"/>
                <w:sz w:val="20"/>
                <w:szCs w:val="20"/>
              </w:rPr>
            </w:pPr>
          </w:p>
          <w:p w14:paraId="3ABBDE1E" w14:textId="77777777" w:rsidR="009E1023" w:rsidRPr="00C67899" w:rsidRDefault="009E1023" w:rsidP="008B793E">
            <w:pPr>
              <w:autoSpaceDE w:val="0"/>
              <w:autoSpaceDN w:val="0"/>
              <w:adjustRightInd w:val="0"/>
              <w:rPr>
                <w:rFonts w:ascii="Arial" w:hAnsi="Arial" w:cs="Arial"/>
                <w:color w:val="808080"/>
                <w:kern w:val="0"/>
                <w:sz w:val="20"/>
                <w:szCs w:val="20"/>
              </w:rPr>
            </w:pPr>
            <w:r w:rsidRPr="00C67899">
              <w:rPr>
                <w:rFonts w:ascii="Arial" w:hAnsi="Arial" w:cs="Arial"/>
                <w:color w:val="808080"/>
                <w:kern w:val="0"/>
                <w:sz w:val="20"/>
                <w:szCs w:val="20"/>
              </w:rPr>
              <w:t xml:space="preserve">Obowiązek notyfikacyjny zależy od przedmiotu projektowanej regulacji. Projekty ustaw mogą zawierać postanowienia, które – ze względu na ich treść – wymagają przedstawienia Komisji Europejskiej lub innym organom UE w ramach określonej procedury notyfikacyjnej. Zakres informacji, które podlegają przekazaniu, oraz tryb ich notyfikowania właściwemu organowi są różne i wynikają ze szczegółowych uregulowań prawa UE. </w:t>
            </w:r>
          </w:p>
          <w:p w14:paraId="5444FC0A" w14:textId="77777777" w:rsidR="009E1023" w:rsidRPr="00C67899" w:rsidRDefault="009E1023" w:rsidP="008B793E">
            <w:pPr>
              <w:autoSpaceDE w:val="0"/>
              <w:autoSpaceDN w:val="0"/>
              <w:adjustRightInd w:val="0"/>
              <w:rPr>
                <w:rFonts w:ascii="Arial" w:hAnsi="Arial" w:cs="Arial"/>
                <w:color w:val="808080"/>
                <w:kern w:val="0"/>
                <w:sz w:val="20"/>
                <w:szCs w:val="20"/>
              </w:rPr>
            </w:pPr>
            <w:r w:rsidRPr="00C67899">
              <w:rPr>
                <w:rFonts w:ascii="Arial" w:hAnsi="Arial" w:cs="Arial"/>
                <w:color w:val="808080"/>
                <w:kern w:val="0"/>
                <w:sz w:val="20"/>
                <w:szCs w:val="20"/>
              </w:rPr>
              <w:t>Procedury notyfikacyjne obejmują, w szczególności:</w:t>
            </w:r>
          </w:p>
          <w:p w14:paraId="7585EEFC" w14:textId="77777777" w:rsidR="009E1023" w:rsidRPr="00C67899" w:rsidRDefault="009E1023" w:rsidP="009E1023">
            <w:pPr>
              <w:pStyle w:val="Akapitzlist"/>
              <w:numPr>
                <w:ilvl w:val="0"/>
                <w:numId w:val="3"/>
              </w:numPr>
              <w:autoSpaceDE w:val="0"/>
              <w:autoSpaceDN w:val="0"/>
              <w:adjustRightInd w:val="0"/>
              <w:rPr>
                <w:rFonts w:ascii="Arial" w:hAnsi="Arial" w:cs="Arial"/>
                <w:color w:val="808080"/>
                <w:kern w:val="0"/>
                <w:sz w:val="20"/>
                <w:szCs w:val="20"/>
              </w:rPr>
            </w:pPr>
            <w:r w:rsidRPr="00C67899">
              <w:rPr>
                <w:rFonts w:ascii="Arial" w:hAnsi="Arial" w:cs="Arial"/>
                <w:color w:val="808080"/>
                <w:kern w:val="0"/>
                <w:sz w:val="20"/>
                <w:szCs w:val="20"/>
              </w:rPr>
              <w:t>plany przyznania lub zmiany pomocy państwa – art. 108 ust</w:t>
            </w:r>
            <w:r>
              <w:rPr>
                <w:rFonts w:ascii="Arial" w:hAnsi="Arial" w:cs="Arial"/>
                <w:color w:val="808080"/>
                <w:kern w:val="0"/>
                <w:sz w:val="20"/>
                <w:szCs w:val="20"/>
              </w:rPr>
              <w:t>.</w:t>
            </w:r>
            <w:r w:rsidRPr="00C67899">
              <w:rPr>
                <w:rFonts w:ascii="Arial" w:hAnsi="Arial" w:cs="Arial"/>
                <w:color w:val="808080"/>
                <w:kern w:val="0"/>
                <w:sz w:val="20"/>
                <w:szCs w:val="20"/>
              </w:rPr>
              <w:t xml:space="preserve"> 3 </w:t>
            </w:r>
            <w:proofErr w:type="spellStart"/>
            <w:r w:rsidRPr="00C67899">
              <w:rPr>
                <w:rFonts w:ascii="Arial" w:hAnsi="Arial" w:cs="Arial"/>
                <w:color w:val="808080"/>
                <w:kern w:val="0"/>
                <w:sz w:val="20"/>
                <w:szCs w:val="20"/>
              </w:rPr>
              <w:t>TfUE</w:t>
            </w:r>
            <w:proofErr w:type="spellEnd"/>
            <w:r w:rsidRPr="00C67899">
              <w:rPr>
                <w:rFonts w:ascii="Arial" w:hAnsi="Arial" w:cs="Arial"/>
                <w:color w:val="808080"/>
                <w:kern w:val="0"/>
                <w:sz w:val="20"/>
                <w:szCs w:val="20"/>
              </w:rPr>
              <w:t xml:space="preserve"> i art. 2 i n. rozporządzenia Rady (UE) 2015/1589 z dnia 13 lipca 2015 r. ustanawiającego szczegółowe zasady stosowania art. 108 Traktatu o funkcjonowaniu Unii Europejskiej (Dz. Urz. UE L 248 z 24.</w:t>
            </w:r>
            <w:r>
              <w:rPr>
                <w:rFonts w:ascii="Arial" w:hAnsi="Arial" w:cs="Arial"/>
                <w:color w:val="808080"/>
                <w:kern w:val="0"/>
                <w:sz w:val="20"/>
                <w:szCs w:val="20"/>
              </w:rPr>
              <w:t>0</w:t>
            </w:r>
            <w:r w:rsidRPr="00C67899">
              <w:rPr>
                <w:rFonts w:ascii="Arial" w:hAnsi="Arial" w:cs="Arial"/>
                <w:color w:val="808080"/>
                <w:kern w:val="0"/>
                <w:sz w:val="20"/>
                <w:szCs w:val="20"/>
              </w:rPr>
              <w:t>9.2015, s</w:t>
            </w:r>
            <w:r>
              <w:rPr>
                <w:rFonts w:ascii="Arial" w:hAnsi="Arial" w:cs="Arial"/>
                <w:color w:val="808080"/>
                <w:kern w:val="0"/>
                <w:sz w:val="20"/>
                <w:szCs w:val="20"/>
              </w:rPr>
              <w:t>tr</w:t>
            </w:r>
            <w:r w:rsidRPr="00C67899">
              <w:rPr>
                <w:rFonts w:ascii="Arial" w:hAnsi="Arial" w:cs="Arial"/>
                <w:color w:val="808080"/>
                <w:kern w:val="0"/>
                <w:sz w:val="20"/>
                <w:szCs w:val="20"/>
              </w:rPr>
              <w:t>. 9);</w:t>
            </w:r>
          </w:p>
          <w:p w14:paraId="2E2E3435" w14:textId="77777777" w:rsidR="009E1023" w:rsidRDefault="009E1023" w:rsidP="009E1023">
            <w:pPr>
              <w:pStyle w:val="Akapitzlist"/>
              <w:numPr>
                <w:ilvl w:val="0"/>
                <w:numId w:val="3"/>
              </w:numPr>
              <w:autoSpaceDE w:val="0"/>
              <w:autoSpaceDN w:val="0"/>
              <w:adjustRightInd w:val="0"/>
              <w:rPr>
                <w:rFonts w:ascii="Arial" w:hAnsi="Arial" w:cs="Arial"/>
                <w:color w:val="808080"/>
                <w:kern w:val="0"/>
                <w:sz w:val="20"/>
                <w:szCs w:val="20"/>
              </w:rPr>
            </w:pPr>
            <w:r w:rsidRPr="00C67899">
              <w:rPr>
                <w:rFonts w:ascii="Arial" w:hAnsi="Arial" w:cs="Arial"/>
                <w:color w:val="808080"/>
                <w:kern w:val="0"/>
                <w:sz w:val="20"/>
                <w:szCs w:val="20"/>
              </w:rPr>
              <w:t>przepisy techniczne – art. 5 i n. dyrektywy (UE) 2015/1535 Parlamentu Europejskiego i</w:t>
            </w:r>
            <w:r>
              <w:rPr>
                <w:rFonts w:ascii="Arial" w:hAnsi="Arial" w:cs="Arial"/>
                <w:color w:val="808080"/>
                <w:kern w:val="0"/>
                <w:sz w:val="20"/>
                <w:szCs w:val="20"/>
              </w:rPr>
              <w:t> </w:t>
            </w:r>
            <w:r w:rsidRPr="00C67899">
              <w:rPr>
                <w:rFonts w:ascii="Arial" w:hAnsi="Arial" w:cs="Arial"/>
                <w:color w:val="808080"/>
                <w:kern w:val="0"/>
                <w:sz w:val="20"/>
                <w:szCs w:val="20"/>
              </w:rPr>
              <w:t>Rady z dnia 9 września 2015 r. ustanawiającej procedurę udzielania informacji w</w:t>
            </w:r>
            <w:r>
              <w:rPr>
                <w:rFonts w:ascii="Arial" w:hAnsi="Arial" w:cs="Arial"/>
                <w:color w:val="808080"/>
                <w:kern w:val="0"/>
                <w:sz w:val="20"/>
                <w:szCs w:val="20"/>
              </w:rPr>
              <w:t> </w:t>
            </w:r>
            <w:r w:rsidRPr="00C67899">
              <w:rPr>
                <w:rFonts w:ascii="Arial" w:hAnsi="Arial" w:cs="Arial"/>
                <w:color w:val="808080"/>
                <w:kern w:val="0"/>
                <w:sz w:val="20"/>
                <w:szCs w:val="20"/>
              </w:rPr>
              <w:t>dziedzinie przepisów technicznych oraz zasad dotyczących usług społeczeństwa informacyjnego (Dz. Urz. UE L 241 z 17.</w:t>
            </w:r>
            <w:r>
              <w:rPr>
                <w:rFonts w:ascii="Arial" w:hAnsi="Arial" w:cs="Arial"/>
                <w:color w:val="808080"/>
                <w:kern w:val="0"/>
                <w:sz w:val="20"/>
                <w:szCs w:val="20"/>
              </w:rPr>
              <w:t>0</w:t>
            </w:r>
            <w:r w:rsidRPr="00C67899">
              <w:rPr>
                <w:rFonts w:ascii="Arial" w:hAnsi="Arial" w:cs="Arial"/>
                <w:color w:val="808080"/>
                <w:kern w:val="0"/>
                <w:sz w:val="20"/>
                <w:szCs w:val="20"/>
              </w:rPr>
              <w:t>9.2015, s</w:t>
            </w:r>
            <w:r>
              <w:rPr>
                <w:rFonts w:ascii="Arial" w:hAnsi="Arial" w:cs="Arial"/>
                <w:color w:val="808080"/>
                <w:kern w:val="0"/>
                <w:sz w:val="20"/>
                <w:szCs w:val="20"/>
              </w:rPr>
              <w:t>tr</w:t>
            </w:r>
            <w:r w:rsidRPr="00C67899">
              <w:rPr>
                <w:rFonts w:ascii="Arial" w:hAnsi="Arial" w:cs="Arial"/>
                <w:color w:val="808080"/>
                <w:kern w:val="0"/>
                <w:sz w:val="20"/>
                <w:szCs w:val="20"/>
              </w:rPr>
              <w:t>. 1);</w:t>
            </w:r>
          </w:p>
          <w:p w14:paraId="3D959611" w14:textId="77777777" w:rsidR="009E1023" w:rsidRPr="00C67899" w:rsidRDefault="009E1023" w:rsidP="009E1023">
            <w:pPr>
              <w:pStyle w:val="Akapitzlist"/>
              <w:numPr>
                <w:ilvl w:val="0"/>
                <w:numId w:val="3"/>
              </w:numPr>
              <w:autoSpaceDE w:val="0"/>
              <w:autoSpaceDN w:val="0"/>
              <w:adjustRightInd w:val="0"/>
              <w:rPr>
                <w:rFonts w:ascii="Arial" w:hAnsi="Arial" w:cs="Arial"/>
                <w:color w:val="808080"/>
                <w:kern w:val="0"/>
                <w:sz w:val="20"/>
                <w:szCs w:val="20"/>
              </w:rPr>
            </w:pPr>
            <w:r w:rsidRPr="00C67899">
              <w:rPr>
                <w:rFonts w:ascii="Arial" w:hAnsi="Arial" w:cs="Arial"/>
                <w:color w:val="808080"/>
                <w:kern w:val="0"/>
                <w:sz w:val="20"/>
                <w:szCs w:val="20"/>
              </w:rPr>
              <w:t xml:space="preserve">przepisy dotyczące dziedziny podlegającej kompetencji Europejskiego Banku Centralnego – art. 127 ust. 4 </w:t>
            </w:r>
            <w:proofErr w:type="spellStart"/>
            <w:r w:rsidRPr="00C67899">
              <w:rPr>
                <w:rFonts w:ascii="Arial" w:hAnsi="Arial" w:cs="Arial"/>
                <w:color w:val="808080"/>
                <w:kern w:val="0"/>
                <w:sz w:val="20"/>
                <w:szCs w:val="20"/>
              </w:rPr>
              <w:t>tiret</w:t>
            </w:r>
            <w:proofErr w:type="spellEnd"/>
            <w:r w:rsidRPr="00C67899">
              <w:rPr>
                <w:rFonts w:ascii="Arial" w:hAnsi="Arial" w:cs="Arial"/>
                <w:color w:val="808080"/>
                <w:kern w:val="0"/>
                <w:sz w:val="20"/>
                <w:szCs w:val="20"/>
              </w:rPr>
              <w:t xml:space="preserve"> drugie </w:t>
            </w:r>
            <w:proofErr w:type="spellStart"/>
            <w:r w:rsidRPr="00C67899">
              <w:rPr>
                <w:rFonts w:ascii="Arial" w:hAnsi="Arial" w:cs="Arial"/>
                <w:color w:val="808080"/>
                <w:kern w:val="0"/>
                <w:sz w:val="20"/>
                <w:szCs w:val="20"/>
              </w:rPr>
              <w:t>TfUE</w:t>
            </w:r>
            <w:proofErr w:type="spellEnd"/>
            <w:r w:rsidRPr="00C67899">
              <w:rPr>
                <w:rFonts w:ascii="Arial" w:hAnsi="Arial" w:cs="Arial"/>
                <w:color w:val="808080"/>
                <w:kern w:val="0"/>
                <w:sz w:val="20"/>
                <w:szCs w:val="20"/>
              </w:rPr>
              <w:t xml:space="preserve"> i art. 2 i n. decyzji Rady z dnia 29 czerwca 1998 r. w</w:t>
            </w:r>
            <w:r>
              <w:rPr>
                <w:rFonts w:ascii="Arial" w:hAnsi="Arial" w:cs="Arial"/>
                <w:color w:val="808080"/>
                <w:kern w:val="0"/>
                <w:sz w:val="20"/>
                <w:szCs w:val="20"/>
              </w:rPr>
              <w:t> </w:t>
            </w:r>
            <w:r w:rsidRPr="00C67899">
              <w:rPr>
                <w:rFonts w:ascii="Arial" w:hAnsi="Arial" w:cs="Arial"/>
                <w:color w:val="808080"/>
                <w:kern w:val="0"/>
                <w:sz w:val="20"/>
                <w:szCs w:val="20"/>
              </w:rPr>
              <w:t>sprawie konsultacji Europejskiego Banku Centralnego udzielanych władzom krajowym w</w:t>
            </w:r>
            <w:r>
              <w:rPr>
                <w:rFonts w:ascii="Arial" w:hAnsi="Arial" w:cs="Arial"/>
                <w:color w:val="808080"/>
                <w:kern w:val="0"/>
                <w:sz w:val="20"/>
                <w:szCs w:val="20"/>
              </w:rPr>
              <w:t> </w:t>
            </w:r>
            <w:r w:rsidRPr="00C67899">
              <w:rPr>
                <w:rFonts w:ascii="Arial" w:hAnsi="Arial" w:cs="Arial"/>
                <w:color w:val="808080"/>
                <w:kern w:val="0"/>
                <w:sz w:val="20"/>
                <w:szCs w:val="20"/>
              </w:rPr>
              <w:t xml:space="preserve">sprawie projektów przepisów prawnych (98/415/WE) (Dz. Urz. UE L 189 z </w:t>
            </w:r>
            <w:r>
              <w:rPr>
                <w:rFonts w:ascii="Arial" w:hAnsi="Arial" w:cs="Arial"/>
                <w:color w:val="808080"/>
                <w:kern w:val="0"/>
                <w:sz w:val="20"/>
                <w:szCs w:val="20"/>
              </w:rPr>
              <w:t>0</w:t>
            </w:r>
            <w:r w:rsidRPr="00C67899">
              <w:rPr>
                <w:rFonts w:ascii="Arial" w:hAnsi="Arial" w:cs="Arial"/>
                <w:color w:val="808080"/>
                <w:kern w:val="0"/>
                <w:sz w:val="20"/>
                <w:szCs w:val="20"/>
              </w:rPr>
              <w:t>3.</w:t>
            </w:r>
            <w:r>
              <w:rPr>
                <w:rFonts w:ascii="Arial" w:hAnsi="Arial" w:cs="Arial"/>
                <w:color w:val="808080"/>
                <w:kern w:val="0"/>
                <w:sz w:val="20"/>
                <w:szCs w:val="20"/>
              </w:rPr>
              <w:t>0</w:t>
            </w:r>
            <w:r w:rsidRPr="00C67899">
              <w:rPr>
                <w:rFonts w:ascii="Arial" w:hAnsi="Arial" w:cs="Arial"/>
                <w:color w:val="808080"/>
                <w:kern w:val="0"/>
                <w:sz w:val="20"/>
                <w:szCs w:val="20"/>
              </w:rPr>
              <w:t>7.1998, s</w:t>
            </w:r>
            <w:r>
              <w:rPr>
                <w:rFonts w:ascii="Arial" w:hAnsi="Arial" w:cs="Arial"/>
                <w:color w:val="808080"/>
                <w:kern w:val="0"/>
                <w:sz w:val="20"/>
                <w:szCs w:val="20"/>
              </w:rPr>
              <w:t>tr</w:t>
            </w:r>
            <w:r w:rsidRPr="00C67899">
              <w:rPr>
                <w:rFonts w:ascii="Arial" w:hAnsi="Arial" w:cs="Arial"/>
                <w:color w:val="808080"/>
                <w:kern w:val="0"/>
                <w:sz w:val="20"/>
                <w:szCs w:val="20"/>
              </w:rPr>
              <w:t>.</w:t>
            </w:r>
            <w:r>
              <w:rPr>
                <w:rFonts w:ascii="Arial" w:hAnsi="Arial" w:cs="Arial"/>
                <w:color w:val="808080"/>
                <w:kern w:val="0"/>
                <w:sz w:val="20"/>
                <w:szCs w:val="20"/>
              </w:rPr>
              <w:t> </w:t>
            </w:r>
            <w:r w:rsidRPr="00C67899">
              <w:rPr>
                <w:rFonts w:ascii="Arial" w:hAnsi="Arial" w:cs="Arial"/>
                <w:color w:val="808080"/>
                <w:kern w:val="0"/>
                <w:sz w:val="20"/>
                <w:szCs w:val="20"/>
              </w:rPr>
              <w:t>42);</w:t>
            </w:r>
          </w:p>
          <w:p w14:paraId="2EAAE896" w14:textId="77777777" w:rsidR="009E1023" w:rsidRDefault="009E1023" w:rsidP="009E1023">
            <w:pPr>
              <w:pStyle w:val="Akapitzlist"/>
              <w:numPr>
                <w:ilvl w:val="0"/>
                <w:numId w:val="3"/>
              </w:numPr>
              <w:autoSpaceDE w:val="0"/>
              <w:autoSpaceDN w:val="0"/>
              <w:adjustRightInd w:val="0"/>
              <w:rPr>
                <w:rFonts w:ascii="Arial" w:hAnsi="Arial" w:cs="Arial"/>
                <w:color w:val="808080"/>
                <w:kern w:val="0"/>
                <w:sz w:val="20"/>
                <w:szCs w:val="20"/>
              </w:rPr>
            </w:pPr>
            <w:r w:rsidRPr="00C67899">
              <w:rPr>
                <w:rFonts w:ascii="Arial" w:hAnsi="Arial" w:cs="Arial"/>
                <w:color w:val="808080"/>
                <w:kern w:val="0"/>
                <w:sz w:val="20"/>
                <w:szCs w:val="20"/>
              </w:rPr>
              <w:t>przepisy mające zastosowanie do usług świadczonych przez usługodawców – art. 15 ust. 7 dyrektywy 2006/123/WE Parlamentu Europejskiego i Rady z dnia 12 grudnia 2006 r. dotycząc</w:t>
            </w:r>
            <w:r>
              <w:rPr>
                <w:rFonts w:ascii="Arial" w:hAnsi="Arial" w:cs="Arial"/>
                <w:color w:val="808080"/>
                <w:kern w:val="0"/>
                <w:sz w:val="20"/>
                <w:szCs w:val="20"/>
              </w:rPr>
              <w:t>ej</w:t>
            </w:r>
            <w:r w:rsidRPr="00C67899">
              <w:rPr>
                <w:rFonts w:ascii="Arial" w:hAnsi="Arial" w:cs="Arial"/>
                <w:color w:val="808080"/>
                <w:kern w:val="0"/>
                <w:sz w:val="20"/>
                <w:szCs w:val="20"/>
              </w:rPr>
              <w:t xml:space="preserve"> usług na rynku wewnętrznym (Dz. Urz. UE L 376 z 27.12.2006, s</w:t>
            </w:r>
            <w:r>
              <w:rPr>
                <w:rFonts w:ascii="Arial" w:hAnsi="Arial" w:cs="Arial"/>
                <w:color w:val="808080"/>
                <w:kern w:val="0"/>
                <w:sz w:val="20"/>
                <w:szCs w:val="20"/>
              </w:rPr>
              <w:t>tr</w:t>
            </w:r>
            <w:r w:rsidRPr="00C67899">
              <w:rPr>
                <w:rFonts w:ascii="Arial" w:hAnsi="Arial" w:cs="Arial"/>
                <w:color w:val="808080"/>
                <w:kern w:val="0"/>
                <w:sz w:val="20"/>
                <w:szCs w:val="20"/>
              </w:rPr>
              <w:t>. 36)</w:t>
            </w:r>
            <w:r>
              <w:rPr>
                <w:rFonts w:ascii="Arial" w:hAnsi="Arial" w:cs="Arial"/>
                <w:color w:val="808080"/>
                <w:kern w:val="0"/>
                <w:sz w:val="20"/>
                <w:szCs w:val="20"/>
              </w:rPr>
              <w:t>.</w:t>
            </w:r>
          </w:p>
          <w:p w14:paraId="6DA9973C" w14:textId="77777777" w:rsidR="009E1023" w:rsidRDefault="009E1023" w:rsidP="008B793E">
            <w:pPr>
              <w:autoSpaceDE w:val="0"/>
              <w:autoSpaceDN w:val="0"/>
              <w:adjustRightInd w:val="0"/>
              <w:rPr>
                <w:rFonts w:ascii="Arial" w:hAnsi="Arial" w:cs="Arial"/>
                <w:color w:val="808080"/>
                <w:kern w:val="0"/>
                <w:sz w:val="20"/>
                <w:szCs w:val="20"/>
              </w:rPr>
            </w:pPr>
          </w:p>
          <w:p w14:paraId="1E1BC359" w14:textId="77777777" w:rsidR="009E1023" w:rsidRPr="00B60FBD" w:rsidRDefault="009E1023" w:rsidP="008B793E">
            <w:pPr>
              <w:autoSpaceDE w:val="0"/>
              <w:autoSpaceDN w:val="0"/>
              <w:adjustRightInd w:val="0"/>
              <w:rPr>
                <w:rFonts w:ascii="Arial" w:hAnsi="Arial" w:cs="Arial"/>
                <w:color w:val="808080"/>
                <w:kern w:val="0"/>
                <w:sz w:val="20"/>
                <w:szCs w:val="20"/>
              </w:rPr>
            </w:pPr>
            <w:r>
              <w:rPr>
                <w:rFonts w:ascii="Arial" w:hAnsi="Arial" w:cs="Arial"/>
                <w:color w:val="808080"/>
                <w:kern w:val="0"/>
                <w:sz w:val="20"/>
                <w:szCs w:val="20"/>
              </w:rPr>
              <w:t>Inne dziedziny objęte procedurą notyfikacyjną to m.in.:</w:t>
            </w:r>
          </w:p>
          <w:p w14:paraId="2A21EC33" w14:textId="77777777" w:rsidR="009E1023" w:rsidRPr="00DE1BE8" w:rsidRDefault="009E1023" w:rsidP="009E1023">
            <w:pPr>
              <w:pStyle w:val="Akapitzlist"/>
              <w:numPr>
                <w:ilvl w:val="0"/>
                <w:numId w:val="3"/>
              </w:numPr>
              <w:rPr>
                <w:rFonts w:ascii="Arial" w:hAnsi="Arial" w:cs="Arial"/>
                <w:color w:val="808080"/>
                <w:kern w:val="0"/>
                <w:sz w:val="20"/>
                <w:szCs w:val="20"/>
              </w:rPr>
            </w:pPr>
            <w:r w:rsidRPr="00DE1BE8">
              <w:rPr>
                <w:rFonts w:ascii="Arial" w:hAnsi="Arial" w:cs="Arial"/>
                <w:color w:val="808080"/>
                <w:kern w:val="0"/>
                <w:sz w:val="20"/>
                <w:szCs w:val="20"/>
              </w:rPr>
              <w:t>prawodawstwo dotyczące informacji na temat żywności</w:t>
            </w:r>
            <w:r>
              <w:rPr>
                <w:rFonts w:ascii="Arial" w:hAnsi="Arial" w:cs="Arial"/>
                <w:color w:val="808080"/>
                <w:kern w:val="0"/>
                <w:sz w:val="20"/>
                <w:szCs w:val="20"/>
              </w:rPr>
              <w:t xml:space="preserve"> </w:t>
            </w:r>
            <w:r w:rsidRPr="00DE1BE8">
              <w:rPr>
                <w:rFonts w:ascii="Arial" w:hAnsi="Arial" w:cs="Arial"/>
                <w:color w:val="808080"/>
                <w:kern w:val="0"/>
                <w:sz w:val="20"/>
                <w:szCs w:val="20"/>
              </w:rPr>
              <w:t>– art. 45 rozporządzenia Parlamentu Europejskiego i Rady (UE) nr 1169/2011 z dnia 25 października 2011 r. w</w:t>
            </w:r>
            <w:r>
              <w:rPr>
                <w:rFonts w:ascii="Arial" w:hAnsi="Arial" w:cs="Arial"/>
                <w:color w:val="808080"/>
                <w:kern w:val="0"/>
                <w:sz w:val="20"/>
                <w:szCs w:val="20"/>
              </w:rPr>
              <w:t> </w:t>
            </w:r>
            <w:r w:rsidRPr="00DE1BE8">
              <w:rPr>
                <w:rFonts w:ascii="Arial" w:hAnsi="Arial" w:cs="Arial"/>
                <w:color w:val="808080"/>
                <w:kern w:val="0"/>
                <w:sz w:val="20"/>
                <w:szCs w:val="20"/>
              </w:rPr>
              <w:t>sprawie przekazywania konsumentom informacji na temat żywności, zmiany rozporządzeń Parlamentu Europejskiego i Rady (WE) nr 1924/2006 i (WE) nr 1925/2006 oraz uchylenia dyrektywy Komisji 87/250/EWG, dyrektywy Rady 90/496/EWG, dyrektywy Komisji 1999/10/WE, dyrektywy 2000/13/WE Parlamentu Europejskiego i Rady, dyrektyw Komisji 2002/67/WE i 2008/5/WE oraz rozporządzenia Komisji (WE) nr 608/2004 (Dz. Urz. UE L 304 z 22.11.2011, s</w:t>
            </w:r>
            <w:r>
              <w:rPr>
                <w:rFonts w:ascii="Arial" w:hAnsi="Arial" w:cs="Arial"/>
                <w:color w:val="808080"/>
                <w:kern w:val="0"/>
                <w:sz w:val="20"/>
                <w:szCs w:val="20"/>
              </w:rPr>
              <w:t>tr</w:t>
            </w:r>
            <w:r w:rsidRPr="00DE1BE8">
              <w:rPr>
                <w:rFonts w:ascii="Arial" w:hAnsi="Arial" w:cs="Arial"/>
                <w:color w:val="808080"/>
                <w:kern w:val="0"/>
                <w:sz w:val="20"/>
                <w:szCs w:val="20"/>
              </w:rPr>
              <w:t>. 18, ze zm.)</w:t>
            </w:r>
            <w:r>
              <w:rPr>
                <w:rFonts w:ascii="Arial" w:hAnsi="Arial" w:cs="Arial"/>
                <w:color w:val="808080"/>
                <w:kern w:val="0"/>
                <w:sz w:val="20"/>
                <w:szCs w:val="20"/>
              </w:rPr>
              <w:t>;</w:t>
            </w:r>
          </w:p>
          <w:p w14:paraId="726F2336" w14:textId="77777777" w:rsidR="009E1023" w:rsidRPr="00C67899" w:rsidRDefault="009E1023" w:rsidP="009E1023">
            <w:pPr>
              <w:pStyle w:val="Akapitzlist"/>
              <w:numPr>
                <w:ilvl w:val="0"/>
                <w:numId w:val="3"/>
              </w:numPr>
              <w:autoSpaceDE w:val="0"/>
              <w:autoSpaceDN w:val="0"/>
              <w:adjustRightInd w:val="0"/>
              <w:rPr>
                <w:rFonts w:ascii="Arial" w:hAnsi="Arial" w:cs="Arial"/>
                <w:color w:val="808080"/>
                <w:kern w:val="0"/>
                <w:sz w:val="20"/>
                <w:szCs w:val="20"/>
              </w:rPr>
            </w:pPr>
            <w:r w:rsidRPr="00C67899">
              <w:rPr>
                <w:rFonts w:ascii="Arial" w:hAnsi="Arial" w:cs="Arial"/>
                <w:color w:val="808080"/>
                <w:kern w:val="0"/>
                <w:sz w:val="20"/>
                <w:szCs w:val="20"/>
              </w:rPr>
              <w:t>harmonizacja prawa państw członkowskich UE – art. 114 ust. 5</w:t>
            </w:r>
            <w:r>
              <w:rPr>
                <w:rFonts w:ascii="Arial" w:hAnsi="Arial" w:cs="Arial"/>
                <w:color w:val="808080"/>
                <w:kern w:val="0"/>
                <w:sz w:val="20"/>
                <w:szCs w:val="20"/>
              </w:rPr>
              <w:t>–</w:t>
            </w:r>
            <w:r w:rsidRPr="00C67899">
              <w:rPr>
                <w:rFonts w:ascii="Arial" w:hAnsi="Arial" w:cs="Arial"/>
                <w:color w:val="808080"/>
                <w:kern w:val="0"/>
                <w:sz w:val="20"/>
                <w:szCs w:val="20"/>
              </w:rPr>
              <w:t xml:space="preserve">7 </w:t>
            </w:r>
            <w:proofErr w:type="spellStart"/>
            <w:r w:rsidRPr="00C67899">
              <w:rPr>
                <w:rFonts w:ascii="Arial" w:hAnsi="Arial" w:cs="Arial"/>
                <w:color w:val="808080"/>
                <w:kern w:val="0"/>
                <w:sz w:val="20"/>
                <w:szCs w:val="20"/>
              </w:rPr>
              <w:t>TfUE</w:t>
            </w:r>
            <w:proofErr w:type="spellEnd"/>
            <w:r w:rsidRPr="00C67899">
              <w:rPr>
                <w:rFonts w:ascii="Arial" w:hAnsi="Arial" w:cs="Arial"/>
                <w:color w:val="808080"/>
                <w:kern w:val="0"/>
                <w:sz w:val="20"/>
                <w:szCs w:val="20"/>
              </w:rPr>
              <w:t>;</w:t>
            </w:r>
          </w:p>
          <w:p w14:paraId="2CA6C1C9" w14:textId="77777777" w:rsidR="009E1023" w:rsidRPr="00C67899" w:rsidRDefault="009E1023" w:rsidP="009E1023">
            <w:pPr>
              <w:pStyle w:val="Akapitzlist"/>
              <w:numPr>
                <w:ilvl w:val="0"/>
                <w:numId w:val="3"/>
              </w:numPr>
              <w:autoSpaceDE w:val="0"/>
              <w:autoSpaceDN w:val="0"/>
              <w:adjustRightInd w:val="0"/>
              <w:rPr>
                <w:rFonts w:ascii="Arial" w:hAnsi="Arial" w:cs="Arial"/>
                <w:color w:val="808080"/>
                <w:kern w:val="0"/>
                <w:sz w:val="20"/>
                <w:szCs w:val="20"/>
              </w:rPr>
            </w:pPr>
            <w:r w:rsidRPr="00C67899">
              <w:rPr>
                <w:rFonts w:ascii="Arial" w:hAnsi="Arial" w:cs="Arial"/>
                <w:color w:val="808080"/>
                <w:kern w:val="0"/>
                <w:sz w:val="20"/>
                <w:szCs w:val="20"/>
              </w:rPr>
              <w:t xml:space="preserve">niektóre środki ochronne w dziedzinie ochrony konsumenta – art. 169 ust. 4 </w:t>
            </w:r>
            <w:proofErr w:type="spellStart"/>
            <w:r w:rsidRPr="00C67899">
              <w:rPr>
                <w:rFonts w:ascii="Arial" w:hAnsi="Arial" w:cs="Arial"/>
                <w:color w:val="808080"/>
                <w:kern w:val="0"/>
                <w:sz w:val="20"/>
                <w:szCs w:val="20"/>
              </w:rPr>
              <w:t>TfUE</w:t>
            </w:r>
            <w:proofErr w:type="spellEnd"/>
            <w:r w:rsidRPr="00C67899">
              <w:rPr>
                <w:rFonts w:ascii="Arial" w:hAnsi="Arial" w:cs="Arial"/>
                <w:color w:val="808080"/>
                <w:kern w:val="0"/>
                <w:sz w:val="20"/>
                <w:szCs w:val="20"/>
              </w:rPr>
              <w:t>;</w:t>
            </w:r>
          </w:p>
          <w:p w14:paraId="1464F68B" w14:textId="77777777" w:rsidR="009E1023" w:rsidRPr="00B60FBD" w:rsidRDefault="009E1023" w:rsidP="009E1023">
            <w:pPr>
              <w:pStyle w:val="Akapitzlist"/>
              <w:numPr>
                <w:ilvl w:val="0"/>
                <w:numId w:val="3"/>
              </w:numPr>
              <w:autoSpaceDE w:val="0"/>
              <w:autoSpaceDN w:val="0"/>
              <w:adjustRightInd w:val="0"/>
              <w:rPr>
                <w:rFonts w:ascii="Arial" w:hAnsi="Arial" w:cs="Arial"/>
                <w:color w:val="808080"/>
                <w:kern w:val="0"/>
                <w:sz w:val="20"/>
                <w:szCs w:val="20"/>
              </w:rPr>
            </w:pPr>
            <w:r w:rsidRPr="00C67899">
              <w:rPr>
                <w:rFonts w:ascii="Arial" w:hAnsi="Arial" w:cs="Arial"/>
                <w:color w:val="808080"/>
                <w:kern w:val="0"/>
                <w:sz w:val="20"/>
                <w:szCs w:val="20"/>
              </w:rPr>
              <w:t xml:space="preserve">niektóre środki ochronne w dziedzinie środowiska – art. 193 </w:t>
            </w:r>
            <w:proofErr w:type="spellStart"/>
            <w:r w:rsidRPr="00C67899">
              <w:rPr>
                <w:rFonts w:ascii="Arial" w:hAnsi="Arial" w:cs="Arial"/>
                <w:color w:val="808080"/>
                <w:kern w:val="0"/>
                <w:sz w:val="20"/>
                <w:szCs w:val="20"/>
              </w:rPr>
              <w:t>TfUE</w:t>
            </w:r>
            <w:proofErr w:type="spellEnd"/>
            <w:r>
              <w:rPr>
                <w:rFonts w:ascii="Arial" w:hAnsi="Arial" w:cs="Arial"/>
                <w:color w:val="808080"/>
                <w:kern w:val="0"/>
                <w:sz w:val="20"/>
                <w:szCs w:val="20"/>
              </w:rPr>
              <w:t>.</w:t>
            </w:r>
          </w:p>
        </w:tc>
      </w:tr>
    </w:tbl>
    <w:p w14:paraId="06813C51" w14:textId="77777777" w:rsidR="009E1023" w:rsidRDefault="009E1023" w:rsidP="009E1023">
      <w:pPr>
        <w:rPr>
          <w:rFonts w:ascii="Arial" w:hAnsi="Arial" w:cs="Arial"/>
          <w:b/>
          <w:sz w:val="24"/>
        </w:rPr>
      </w:pPr>
    </w:p>
    <w:p w14:paraId="26F39425" w14:textId="77777777" w:rsidR="009E1023" w:rsidRDefault="009E1023" w:rsidP="009E1023">
      <w:pPr>
        <w:rPr>
          <w:rFonts w:ascii="Arial" w:hAnsi="Arial" w:cs="Arial"/>
          <w:b/>
          <w:sz w:val="24"/>
        </w:rPr>
      </w:pPr>
      <w:r>
        <w:rPr>
          <w:rFonts w:ascii="Arial" w:hAnsi="Arial" w:cs="Arial"/>
          <w:b/>
          <w:sz w:val="24"/>
        </w:rPr>
        <w:br w:type="page"/>
      </w:r>
      <w:r w:rsidRPr="009C37AF">
        <w:rPr>
          <w:rFonts w:ascii="Arial" w:hAnsi="Arial" w:cs="Arial"/>
          <w:b/>
          <w:sz w:val="24"/>
        </w:rPr>
        <w:lastRenderedPageBreak/>
        <w:t>III.</w:t>
      </w:r>
      <w:r>
        <w:rPr>
          <w:rFonts w:ascii="Arial" w:hAnsi="Arial" w:cs="Arial"/>
          <w:b/>
          <w:sz w:val="24"/>
        </w:rPr>
        <w:t xml:space="preserve"> </w:t>
      </w:r>
      <w:bookmarkStart w:id="3" w:name="_Hlk174441212"/>
      <w:r>
        <w:rPr>
          <w:rFonts w:ascii="Arial" w:hAnsi="Arial" w:cs="Arial"/>
          <w:b/>
          <w:sz w:val="24"/>
        </w:rPr>
        <w:t>Wymogi określone w art. 34 ust. 2a i 2b regulaminu Sejmu</w:t>
      </w:r>
    </w:p>
    <w:p w14:paraId="69871170" w14:textId="77777777" w:rsidR="009E1023" w:rsidRPr="009C37AF" w:rsidRDefault="009E1023" w:rsidP="009E1023">
      <w:pPr>
        <w:rPr>
          <w:rFonts w:ascii="Arial" w:hAnsi="Arial" w:cs="Arial"/>
          <w:b/>
          <w:sz w:val="24"/>
        </w:rPr>
      </w:pPr>
      <w:r>
        <w:rPr>
          <w:rFonts w:ascii="Arial" w:hAnsi="Arial" w:cs="Arial"/>
          <w:b/>
          <w:sz w:val="24"/>
        </w:rPr>
        <w:t xml:space="preserve"> </w:t>
      </w:r>
      <w:bookmarkEnd w:id="3"/>
    </w:p>
    <w:p w14:paraId="7DB4DFF8" w14:textId="77777777" w:rsidR="009E1023" w:rsidRPr="009C37AF" w:rsidRDefault="009E1023" w:rsidP="009E1023">
      <w:pPr>
        <w:jc w:val="both"/>
        <w:rPr>
          <w:rFonts w:ascii="Arial" w:hAnsi="Arial" w:cs="Arial"/>
          <w:sz w:val="24"/>
        </w:rPr>
      </w:pPr>
      <w:r w:rsidRPr="009C37AF">
        <w:rPr>
          <w:rFonts w:ascii="Arial" w:hAnsi="Arial" w:cs="Arial"/>
          <w:sz w:val="24"/>
        </w:rPr>
        <w:t>[</w:t>
      </w:r>
      <w:r>
        <w:rPr>
          <w:rFonts w:ascii="Arial" w:hAnsi="Arial" w:cs="Arial"/>
          <w:sz w:val="24"/>
        </w:rPr>
        <w:t>9</w:t>
      </w:r>
      <w:r w:rsidRPr="009C37AF">
        <w:rPr>
          <w:rFonts w:ascii="Arial" w:hAnsi="Arial" w:cs="Arial"/>
          <w:sz w:val="24"/>
        </w:rPr>
        <w:t>] Czy projekt ustawy zawiera przepisy określające zasady podejmowania, wykonywania lub zakończenia działalności gospodarczej (art. 34 ust. 2a regulaminu Sejmu)</w:t>
      </w:r>
      <w:r>
        <w:rPr>
          <w:rFonts w:ascii="Arial" w:hAnsi="Arial" w:cs="Arial"/>
          <w:sz w:val="24"/>
        </w:rPr>
        <w:t>?</w:t>
      </w:r>
    </w:p>
    <w:p w14:paraId="1F01335E" w14:textId="77777777" w:rsidR="009E1023" w:rsidRPr="001F52F0" w:rsidRDefault="009E1023" w:rsidP="009E1023">
      <w:pPr>
        <w:pStyle w:val="Akapitzlist"/>
        <w:numPr>
          <w:ilvl w:val="0"/>
          <w:numId w:val="1"/>
        </w:numPr>
        <w:spacing w:line="240" w:lineRule="auto"/>
        <w:jc w:val="both"/>
        <w:rPr>
          <w:rFonts w:ascii="Arial" w:hAnsi="Arial" w:cs="Arial"/>
          <w:b/>
          <w:bCs/>
          <w:sz w:val="24"/>
          <w:u w:val="single"/>
        </w:rPr>
      </w:pPr>
      <w:r w:rsidRPr="001F52F0">
        <w:rPr>
          <w:rFonts w:ascii="Arial" w:hAnsi="Arial" w:cs="Arial"/>
          <w:b/>
          <w:bCs/>
          <w:sz w:val="24"/>
          <w:u w:val="single"/>
        </w:rPr>
        <w:t>Nie</w:t>
      </w:r>
    </w:p>
    <w:p w14:paraId="0C1C63CF" w14:textId="77777777" w:rsidR="009E1023" w:rsidRDefault="009E1023" w:rsidP="009E1023">
      <w:pPr>
        <w:pStyle w:val="Akapitzlist"/>
        <w:numPr>
          <w:ilvl w:val="0"/>
          <w:numId w:val="1"/>
        </w:numPr>
        <w:spacing w:line="240" w:lineRule="auto"/>
        <w:jc w:val="both"/>
        <w:rPr>
          <w:rFonts w:ascii="Arial" w:hAnsi="Arial" w:cs="Arial"/>
          <w:sz w:val="24"/>
        </w:rPr>
      </w:pPr>
      <w:r>
        <w:rPr>
          <w:rFonts w:ascii="Arial" w:hAnsi="Arial" w:cs="Arial"/>
          <w:sz w:val="24"/>
        </w:rPr>
        <w:t>Tak</w:t>
      </w:r>
    </w:p>
    <w:tbl>
      <w:tblPr>
        <w:tblStyle w:val="Tabela-Siatka"/>
        <w:tblW w:w="0" w:type="auto"/>
        <w:tblLook w:val="04A0" w:firstRow="1" w:lastRow="0" w:firstColumn="1" w:lastColumn="0" w:noHBand="0" w:noVBand="1"/>
      </w:tblPr>
      <w:tblGrid>
        <w:gridCol w:w="9060"/>
      </w:tblGrid>
      <w:tr w:rsidR="009E1023" w14:paraId="6CB9DFC9" w14:textId="77777777" w:rsidTr="008B793E">
        <w:tc>
          <w:tcPr>
            <w:tcW w:w="9062" w:type="dxa"/>
          </w:tcPr>
          <w:p w14:paraId="382DBAB1" w14:textId="77777777" w:rsidR="009E1023" w:rsidRPr="008A30F4" w:rsidRDefault="009E1023" w:rsidP="008B793E">
            <w:pPr>
              <w:jc w:val="both"/>
              <w:rPr>
                <w:rFonts w:ascii="Arial" w:hAnsi="Arial" w:cs="Arial"/>
                <w:color w:val="7F7F7F" w:themeColor="text1" w:themeTint="80"/>
                <w:sz w:val="20"/>
                <w:szCs w:val="20"/>
              </w:rPr>
            </w:pPr>
            <w:r w:rsidRPr="008A30F4">
              <w:rPr>
                <w:rFonts w:ascii="Arial" w:hAnsi="Arial" w:cs="Arial"/>
                <w:color w:val="7F7F7F" w:themeColor="text1" w:themeTint="80"/>
                <w:sz w:val="20"/>
                <w:szCs w:val="20"/>
              </w:rPr>
              <w:t xml:space="preserve">Zgodnie z art. 34 ust. 2a regulaminu Sejmu uzasadnienie projektu ustawy określającej zasady podejmowania, wykonywania lub zakończenia działalności gospodarczej powinno odpowiadać wymogom określonym w art. 66 ust. 2 i art. 68 ustawy z dnia 6 marca 2018 r. </w:t>
            </w:r>
            <w:r>
              <w:rPr>
                <w:rFonts w:ascii="Arial" w:hAnsi="Arial" w:cs="Arial"/>
                <w:color w:val="7F7F7F" w:themeColor="text1" w:themeTint="80"/>
                <w:sz w:val="20"/>
                <w:szCs w:val="20"/>
              </w:rPr>
              <w:t>–</w:t>
            </w:r>
            <w:r w:rsidRPr="008A30F4">
              <w:rPr>
                <w:rFonts w:ascii="Arial" w:hAnsi="Arial" w:cs="Arial"/>
                <w:color w:val="7F7F7F" w:themeColor="text1" w:themeTint="80"/>
                <w:sz w:val="20"/>
                <w:szCs w:val="20"/>
              </w:rPr>
              <w:t xml:space="preserve"> Prawo przedsiębiorców (Dz. U. z 202</w:t>
            </w:r>
            <w:r>
              <w:rPr>
                <w:rFonts w:ascii="Arial" w:hAnsi="Arial" w:cs="Arial"/>
                <w:color w:val="7F7F7F" w:themeColor="text1" w:themeTint="80"/>
                <w:sz w:val="20"/>
                <w:szCs w:val="20"/>
              </w:rPr>
              <w:t>4</w:t>
            </w:r>
            <w:r w:rsidRPr="008A30F4">
              <w:rPr>
                <w:rFonts w:ascii="Arial" w:hAnsi="Arial" w:cs="Arial"/>
                <w:color w:val="7F7F7F" w:themeColor="text1" w:themeTint="80"/>
                <w:sz w:val="20"/>
                <w:szCs w:val="20"/>
              </w:rPr>
              <w:t xml:space="preserve"> r. poz. </w:t>
            </w:r>
            <w:r>
              <w:rPr>
                <w:rFonts w:ascii="Arial" w:hAnsi="Arial" w:cs="Arial"/>
                <w:color w:val="7F7F7F" w:themeColor="text1" w:themeTint="80"/>
                <w:sz w:val="20"/>
                <w:szCs w:val="20"/>
              </w:rPr>
              <w:t>236 i 1222</w:t>
            </w:r>
            <w:r w:rsidRPr="008A30F4">
              <w:rPr>
                <w:rFonts w:ascii="Arial" w:hAnsi="Arial" w:cs="Arial"/>
                <w:color w:val="7F7F7F" w:themeColor="text1" w:themeTint="80"/>
                <w:sz w:val="20"/>
                <w:szCs w:val="20"/>
              </w:rPr>
              <w:t>). Niniejsze pytanie odnosi się do wymogu określonego w pierwszym z ww. przepisów ustawowych. Art. 66 ust. 1 Prawa przedsiębiorców stanowi, że przed rozpoczęciem prac nad opracowaniem projektu aktu normatywnego określającego zasady podejmowania, wykonywania lub zakończenia działalności gospodarczej dokonuje się: 1) analizy możliwości osiągnięcia celu tego aktu normatywnego za pomocą innych środków; 2)</w:t>
            </w:r>
            <w:r>
              <w:rPr>
                <w:rFonts w:ascii="Arial" w:hAnsi="Arial" w:cs="Arial"/>
                <w:color w:val="7F7F7F" w:themeColor="text1" w:themeTint="80"/>
                <w:sz w:val="20"/>
                <w:szCs w:val="20"/>
              </w:rPr>
              <w:t xml:space="preserve"> </w:t>
            </w:r>
            <w:r w:rsidRPr="008A30F4">
              <w:rPr>
                <w:rFonts w:ascii="Arial" w:hAnsi="Arial" w:cs="Arial"/>
                <w:color w:val="7F7F7F" w:themeColor="text1" w:themeTint="80"/>
                <w:sz w:val="20"/>
                <w:szCs w:val="20"/>
              </w:rPr>
              <w:t>oceny przewidywanych skutków społeczno-gospodarczych, w tym</w:t>
            </w:r>
            <w:r>
              <w:rPr>
                <w:rFonts w:ascii="Arial" w:hAnsi="Arial" w:cs="Arial"/>
                <w:color w:val="7F7F7F" w:themeColor="text1" w:themeTint="80"/>
                <w:sz w:val="20"/>
                <w:szCs w:val="20"/>
              </w:rPr>
              <w:t xml:space="preserve"> </w:t>
            </w:r>
            <w:r w:rsidRPr="008A30F4">
              <w:rPr>
                <w:rFonts w:ascii="Arial" w:hAnsi="Arial" w:cs="Arial"/>
                <w:color w:val="7F7F7F" w:themeColor="text1" w:themeTint="80"/>
                <w:sz w:val="20"/>
                <w:szCs w:val="20"/>
              </w:rPr>
              <w:t xml:space="preserve">oceny wpływu na </w:t>
            </w:r>
            <w:proofErr w:type="spellStart"/>
            <w:r w:rsidRPr="008A30F4">
              <w:rPr>
                <w:rFonts w:ascii="Arial" w:hAnsi="Arial" w:cs="Arial"/>
                <w:color w:val="7F7F7F" w:themeColor="text1" w:themeTint="80"/>
                <w:sz w:val="20"/>
                <w:szCs w:val="20"/>
              </w:rPr>
              <w:t>mikroprzedsiębiorców</w:t>
            </w:r>
            <w:proofErr w:type="spellEnd"/>
            <w:r w:rsidRPr="008A30F4">
              <w:rPr>
                <w:rFonts w:ascii="Arial" w:hAnsi="Arial" w:cs="Arial"/>
                <w:color w:val="7F7F7F" w:themeColor="text1" w:themeTint="80"/>
                <w:sz w:val="20"/>
                <w:szCs w:val="20"/>
              </w:rPr>
              <w:t xml:space="preserve">, małych i średnich przedsiębiorców oraz analizy zgodności projektowanych regulacji z przepisami ustawy. Z kolei </w:t>
            </w:r>
            <w:r>
              <w:rPr>
                <w:rFonts w:ascii="Arial" w:hAnsi="Arial" w:cs="Arial"/>
                <w:color w:val="7F7F7F" w:themeColor="text1" w:themeTint="80"/>
                <w:sz w:val="20"/>
                <w:szCs w:val="20"/>
              </w:rPr>
              <w:t>w art.</w:t>
            </w:r>
            <w:r w:rsidRPr="008A30F4">
              <w:rPr>
                <w:rFonts w:ascii="Arial" w:hAnsi="Arial" w:cs="Arial"/>
                <w:color w:val="7F7F7F" w:themeColor="text1" w:themeTint="80"/>
                <w:sz w:val="20"/>
                <w:szCs w:val="20"/>
              </w:rPr>
              <w:t xml:space="preserve"> 66 ust. 2 Prawa przedsiębiorców nakazuje się przedstawienie wyników powyższych analiz i ocen w</w:t>
            </w:r>
            <w:r>
              <w:rPr>
                <w:rFonts w:ascii="Arial" w:hAnsi="Arial" w:cs="Arial"/>
                <w:color w:val="7F7F7F" w:themeColor="text1" w:themeTint="80"/>
                <w:sz w:val="20"/>
                <w:szCs w:val="20"/>
              </w:rPr>
              <w:t> </w:t>
            </w:r>
            <w:r w:rsidRPr="008A30F4">
              <w:rPr>
                <w:rFonts w:ascii="Arial" w:hAnsi="Arial" w:cs="Arial"/>
                <w:color w:val="7F7F7F" w:themeColor="text1" w:themeTint="80"/>
                <w:sz w:val="20"/>
                <w:szCs w:val="20"/>
              </w:rPr>
              <w:t>uzasadnieniu do projektu aktu normatywnego lub, jak w niniejszej sytuacji, w ocenie skutków regulacji, stanowiącej odrębną część uzasadnienia projektu aktu normatywnego.</w:t>
            </w:r>
          </w:p>
          <w:p w14:paraId="4D5FDE82" w14:textId="77777777" w:rsidR="009E1023" w:rsidRPr="008A30F4" w:rsidRDefault="009E1023" w:rsidP="008B793E">
            <w:pPr>
              <w:jc w:val="both"/>
              <w:rPr>
                <w:rFonts w:ascii="Arial" w:hAnsi="Arial" w:cs="Arial"/>
                <w:color w:val="7F7F7F" w:themeColor="text1" w:themeTint="80"/>
                <w:sz w:val="20"/>
                <w:szCs w:val="20"/>
              </w:rPr>
            </w:pPr>
          </w:p>
          <w:p w14:paraId="71E802A1" w14:textId="77777777" w:rsidR="009E1023" w:rsidRDefault="009E1023" w:rsidP="008B793E">
            <w:pPr>
              <w:jc w:val="both"/>
              <w:rPr>
                <w:rFonts w:ascii="Arial" w:hAnsi="Arial" w:cs="Arial"/>
                <w:sz w:val="24"/>
              </w:rPr>
            </w:pPr>
            <w:r w:rsidRPr="008A30F4">
              <w:rPr>
                <w:rFonts w:ascii="Arial" w:hAnsi="Arial" w:cs="Arial"/>
                <w:color w:val="7F7F7F" w:themeColor="text1" w:themeTint="80"/>
                <w:sz w:val="20"/>
                <w:szCs w:val="20"/>
              </w:rPr>
              <w:t>Jeśli projekt ustawy zawiera przepisy określające zasady podejmowania, wykonywania lub zakończenia działalności gospodarczej, proszę podać wyniki analiz i ocen, o których mowa w art. 66 ust. 1 Praw</w:t>
            </w:r>
            <w:r>
              <w:rPr>
                <w:rFonts w:ascii="Arial" w:hAnsi="Arial" w:cs="Arial"/>
                <w:color w:val="7F7F7F" w:themeColor="text1" w:themeTint="80"/>
                <w:sz w:val="20"/>
                <w:szCs w:val="20"/>
              </w:rPr>
              <w:t>a</w:t>
            </w:r>
            <w:r w:rsidRPr="008A30F4">
              <w:rPr>
                <w:rFonts w:ascii="Arial" w:hAnsi="Arial" w:cs="Arial"/>
                <w:color w:val="7F7F7F" w:themeColor="text1" w:themeTint="80"/>
                <w:sz w:val="20"/>
                <w:szCs w:val="20"/>
              </w:rPr>
              <w:t xml:space="preserve"> przedsiębiorców.</w:t>
            </w:r>
          </w:p>
        </w:tc>
      </w:tr>
    </w:tbl>
    <w:p w14:paraId="31CB0141" w14:textId="77777777" w:rsidR="009E1023" w:rsidRPr="005E6B97" w:rsidRDefault="009E1023" w:rsidP="009E1023">
      <w:pPr>
        <w:spacing w:line="240" w:lineRule="auto"/>
        <w:jc w:val="both"/>
        <w:rPr>
          <w:rFonts w:ascii="Arial" w:hAnsi="Arial" w:cs="Arial"/>
          <w:sz w:val="24"/>
        </w:rPr>
      </w:pPr>
    </w:p>
    <w:p w14:paraId="53FBEF5B" w14:textId="77777777" w:rsidR="009E1023" w:rsidRPr="009C37AF" w:rsidRDefault="009E1023" w:rsidP="009E1023">
      <w:pPr>
        <w:jc w:val="both"/>
        <w:rPr>
          <w:rFonts w:ascii="Arial" w:hAnsi="Arial" w:cs="Arial"/>
          <w:sz w:val="24"/>
        </w:rPr>
      </w:pPr>
      <w:r w:rsidRPr="009C37AF">
        <w:rPr>
          <w:rFonts w:ascii="Arial" w:hAnsi="Arial" w:cs="Arial"/>
          <w:sz w:val="24"/>
        </w:rPr>
        <w:t>[</w:t>
      </w:r>
      <w:r>
        <w:rPr>
          <w:rFonts w:ascii="Arial" w:hAnsi="Arial" w:cs="Arial"/>
          <w:sz w:val="24"/>
        </w:rPr>
        <w:t>10</w:t>
      </w:r>
      <w:r w:rsidRPr="009C37AF">
        <w:rPr>
          <w:rFonts w:ascii="Arial" w:hAnsi="Arial" w:cs="Arial"/>
          <w:sz w:val="24"/>
        </w:rPr>
        <w:t xml:space="preserve">] Czy wdrożenie projektowanych przepisów spowoduje obciążenia administracyjne </w:t>
      </w:r>
      <w:proofErr w:type="spellStart"/>
      <w:r w:rsidRPr="009C37AF">
        <w:rPr>
          <w:rFonts w:ascii="Arial" w:hAnsi="Arial" w:cs="Arial"/>
          <w:sz w:val="24"/>
        </w:rPr>
        <w:t>mikroprzedsiębiorców</w:t>
      </w:r>
      <w:proofErr w:type="spellEnd"/>
      <w:r w:rsidRPr="009C37AF">
        <w:rPr>
          <w:rFonts w:ascii="Arial" w:hAnsi="Arial" w:cs="Arial"/>
          <w:sz w:val="24"/>
        </w:rPr>
        <w:t>, małych i średnich przedsiębiorców</w:t>
      </w:r>
      <w:r>
        <w:rPr>
          <w:rFonts w:ascii="Arial" w:hAnsi="Arial" w:cs="Arial"/>
          <w:sz w:val="24"/>
        </w:rPr>
        <w:t xml:space="preserve"> </w:t>
      </w:r>
      <w:r w:rsidRPr="009C37AF">
        <w:rPr>
          <w:rFonts w:ascii="Arial" w:hAnsi="Arial" w:cs="Arial"/>
          <w:sz w:val="24"/>
        </w:rPr>
        <w:t>(art. 34 ust. 2a regulaminu Sejmu)</w:t>
      </w:r>
      <w:r>
        <w:rPr>
          <w:rFonts w:ascii="Arial" w:hAnsi="Arial" w:cs="Arial"/>
          <w:sz w:val="24"/>
        </w:rPr>
        <w:t>?</w:t>
      </w:r>
    </w:p>
    <w:p w14:paraId="031A609C" w14:textId="77777777" w:rsidR="009E1023" w:rsidRPr="001F52F0" w:rsidRDefault="009E1023" w:rsidP="009E1023">
      <w:pPr>
        <w:pStyle w:val="Akapitzlist"/>
        <w:numPr>
          <w:ilvl w:val="0"/>
          <w:numId w:val="1"/>
        </w:numPr>
        <w:spacing w:line="240" w:lineRule="auto"/>
        <w:jc w:val="both"/>
        <w:rPr>
          <w:rFonts w:ascii="Arial" w:hAnsi="Arial" w:cs="Arial"/>
          <w:b/>
          <w:bCs/>
          <w:sz w:val="24"/>
          <w:u w:val="single"/>
        </w:rPr>
      </w:pPr>
      <w:r w:rsidRPr="001F52F0">
        <w:rPr>
          <w:rFonts w:ascii="Arial" w:hAnsi="Arial" w:cs="Arial"/>
          <w:b/>
          <w:bCs/>
          <w:sz w:val="24"/>
          <w:u w:val="single"/>
        </w:rPr>
        <w:t>Nie</w:t>
      </w:r>
    </w:p>
    <w:p w14:paraId="25F8FF64" w14:textId="77777777" w:rsidR="009E1023" w:rsidRDefault="009E1023" w:rsidP="009E1023">
      <w:pPr>
        <w:pStyle w:val="Akapitzlist"/>
        <w:numPr>
          <w:ilvl w:val="0"/>
          <w:numId w:val="1"/>
        </w:numPr>
        <w:spacing w:line="240" w:lineRule="auto"/>
        <w:jc w:val="both"/>
        <w:rPr>
          <w:rFonts w:ascii="Arial" w:hAnsi="Arial" w:cs="Arial"/>
          <w:sz w:val="24"/>
        </w:rPr>
      </w:pPr>
      <w:r>
        <w:rPr>
          <w:rFonts w:ascii="Arial" w:hAnsi="Arial" w:cs="Arial"/>
          <w:sz w:val="24"/>
        </w:rPr>
        <w:t>Tak</w:t>
      </w:r>
    </w:p>
    <w:tbl>
      <w:tblPr>
        <w:tblStyle w:val="Tabela-Siatka"/>
        <w:tblW w:w="0" w:type="auto"/>
        <w:tblLook w:val="04A0" w:firstRow="1" w:lastRow="0" w:firstColumn="1" w:lastColumn="0" w:noHBand="0" w:noVBand="1"/>
      </w:tblPr>
      <w:tblGrid>
        <w:gridCol w:w="9060"/>
      </w:tblGrid>
      <w:tr w:rsidR="009E1023" w14:paraId="133E1995" w14:textId="77777777" w:rsidTr="008B793E">
        <w:tc>
          <w:tcPr>
            <w:tcW w:w="9062" w:type="dxa"/>
          </w:tcPr>
          <w:p w14:paraId="5C6A5414" w14:textId="77777777" w:rsidR="009E1023" w:rsidRPr="008A30F4" w:rsidRDefault="009E1023" w:rsidP="008B793E">
            <w:pPr>
              <w:jc w:val="both"/>
              <w:rPr>
                <w:rFonts w:ascii="Arial" w:hAnsi="Arial" w:cs="Arial"/>
                <w:color w:val="7F7F7F" w:themeColor="text1" w:themeTint="80"/>
                <w:sz w:val="20"/>
                <w:szCs w:val="20"/>
              </w:rPr>
            </w:pPr>
            <w:r w:rsidRPr="008A30F4">
              <w:rPr>
                <w:rFonts w:ascii="Arial" w:hAnsi="Arial" w:cs="Arial"/>
                <w:color w:val="7F7F7F" w:themeColor="text1" w:themeTint="80"/>
                <w:sz w:val="20"/>
                <w:szCs w:val="20"/>
              </w:rPr>
              <w:t>Niniejsze pytanie odnosi się do wymogu określonego w art. 68  Praw</w:t>
            </w:r>
            <w:r>
              <w:rPr>
                <w:rFonts w:ascii="Arial" w:hAnsi="Arial" w:cs="Arial"/>
                <w:color w:val="7F7F7F" w:themeColor="text1" w:themeTint="80"/>
                <w:sz w:val="20"/>
                <w:szCs w:val="20"/>
              </w:rPr>
              <w:t>a</w:t>
            </w:r>
            <w:r w:rsidRPr="008A30F4">
              <w:rPr>
                <w:rFonts w:ascii="Arial" w:hAnsi="Arial" w:cs="Arial"/>
                <w:color w:val="7F7F7F" w:themeColor="text1" w:themeTint="80"/>
                <w:sz w:val="20"/>
                <w:szCs w:val="20"/>
              </w:rPr>
              <w:t xml:space="preserve"> przedsiębiorców. Przepis ten stanowi, iż w przypadku stwierdzenia wpływu projektu aktu normatywnego na </w:t>
            </w:r>
            <w:proofErr w:type="spellStart"/>
            <w:r w:rsidRPr="008A30F4">
              <w:rPr>
                <w:rFonts w:ascii="Arial" w:hAnsi="Arial" w:cs="Arial"/>
                <w:color w:val="7F7F7F" w:themeColor="text1" w:themeTint="80"/>
                <w:sz w:val="20"/>
                <w:szCs w:val="20"/>
              </w:rPr>
              <w:t>mikroprzedsiębiorców</w:t>
            </w:r>
            <w:proofErr w:type="spellEnd"/>
            <w:r w:rsidRPr="008A30F4">
              <w:rPr>
                <w:rFonts w:ascii="Arial" w:hAnsi="Arial" w:cs="Arial"/>
                <w:color w:val="7F7F7F" w:themeColor="text1" w:themeTint="80"/>
                <w:sz w:val="20"/>
                <w:szCs w:val="20"/>
              </w:rPr>
              <w:t>, małych i średnich przedsiębiorców, przy opracowaniu projektu aktu normatywnego dąży się do proporcjonalnego ograniczania obowiązków administracyjnych wobec tych przedsiębiorców albo uzasadnia brak możliwości zastosowania takich ograniczeń.</w:t>
            </w:r>
          </w:p>
          <w:p w14:paraId="76286F4F" w14:textId="77777777" w:rsidR="009E1023" w:rsidRPr="008A30F4" w:rsidRDefault="009E1023" w:rsidP="008B793E">
            <w:pPr>
              <w:jc w:val="both"/>
              <w:rPr>
                <w:rFonts w:ascii="Arial" w:hAnsi="Arial" w:cs="Arial"/>
                <w:color w:val="7F7F7F" w:themeColor="text1" w:themeTint="80"/>
                <w:sz w:val="20"/>
                <w:szCs w:val="20"/>
              </w:rPr>
            </w:pPr>
          </w:p>
          <w:p w14:paraId="0843270F" w14:textId="77777777" w:rsidR="009E1023" w:rsidRDefault="009E1023" w:rsidP="008B793E">
            <w:pPr>
              <w:jc w:val="both"/>
              <w:rPr>
                <w:rFonts w:ascii="Arial" w:hAnsi="Arial" w:cs="Arial"/>
                <w:sz w:val="24"/>
              </w:rPr>
            </w:pPr>
            <w:r w:rsidRPr="008A30F4">
              <w:rPr>
                <w:rFonts w:ascii="Arial" w:hAnsi="Arial" w:cs="Arial"/>
                <w:color w:val="7F7F7F" w:themeColor="text1" w:themeTint="80"/>
                <w:sz w:val="20"/>
                <w:szCs w:val="20"/>
              </w:rPr>
              <w:t xml:space="preserve">Jeśli projekt ustawy wpływa na </w:t>
            </w:r>
            <w:proofErr w:type="spellStart"/>
            <w:r w:rsidRPr="008A30F4">
              <w:rPr>
                <w:rFonts w:ascii="Arial" w:hAnsi="Arial" w:cs="Arial"/>
                <w:color w:val="7F7F7F" w:themeColor="text1" w:themeTint="80"/>
                <w:sz w:val="20"/>
                <w:szCs w:val="20"/>
              </w:rPr>
              <w:t>mikroprzedsiębiorców</w:t>
            </w:r>
            <w:proofErr w:type="spellEnd"/>
            <w:r w:rsidRPr="008A30F4">
              <w:rPr>
                <w:rFonts w:ascii="Arial" w:hAnsi="Arial" w:cs="Arial"/>
                <w:color w:val="7F7F7F" w:themeColor="text1" w:themeTint="80"/>
                <w:sz w:val="20"/>
                <w:szCs w:val="20"/>
              </w:rPr>
              <w:t>, małych i średnich przedsiębiorców, proszę wyjaśnić, czy w przepisach projektu dąży się do proporcjonalnego ograniczania obowiązków administracyjnych wobec tych przedsiębiorców, a jeśli nie, proszę uzasadnić, dlaczego brak jest możliwości zastosowania takich ograniczeń.</w:t>
            </w:r>
          </w:p>
        </w:tc>
      </w:tr>
    </w:tbl>
    <w:p w14:paraId="50682645" w14:textId="77777777" w:rsidR="009E1023" w:rsidRPr="005E6B97" w:rsidRDefault="009E1023" w:rsidP="009E1023">
      <w:pPr>
        <w:spacing w:line="240" w:lineRule="auto"/>
        <w:jc w:val="both"/>
        <w:rPr>
          <w:rFonts w:ascii="Arial" w:hAnsi="Arial" w:cs="Arial"/>
          <w:sz w:val="24"/>
        </w:rPr>
      </w:pPr>
    </w:p>
    <w:p w14:paraId="4691074C" w14:textId="77777777" w:rsidR="009E1023" w:rsidRPr="009C37AF" w:rsidRDefault="009E1023" w:rsidP="009E1023">
      <w:pPr>
        <w:jc w:val="both"/>
        <w:rPr>
          <w:rFonts w:ascii="Arial" w:hAnsi="Arial" w:cs="Arial"/>
          <w:sz w:val="24"/>
        </w:rPr>
      </w:pPr>
      <w:r w:rsidRPr="009C37AF">
        <w:rPr>
          <w:rFonts w:ascii="Arial" w:hAnsi="Arial" w:cs="Arial"/>
          <w:sz w:val="24"/>
        </w:rPr>
        <w:t>[1</w:t>
      </w:r>
      <w:r>
        <w:rPr>
          <w:rFonts w:ascii="Arial" w:hAnsi="Arial" w:cs="Arial"/>
          <w:sz w:val="24"/>
        </w:rPr>
        <w:t>1</w:t>
      </w:r>
      <w:r w:rsidRPr="009C37AF">
        <w:rPr>
          <w:rFonts w:ascii="Arial" w:hAnsi="Arial" w:cs="Arial"/>
          <w:sz w:val="24"/>
        </w:rPr>
        <w:t>] Czy projekt ustawy zawiera przepisy regulacyjne lub określa wymogi dotyczące świadczenia usług transgranicznych w rozumieniu ustawy z dnia 22 grudnia 2015 r. o</w:t>
      </w:r>
      <w:r>
        <w:rPr>
          <w:rFonts w:ascii="Arial" w:hAnsi="Arial" w:cs="Arial"/>
          <w:sz w:val="24"/>
        </w:rPr>
        <w:t> </w:t>
      </w:r>
      <w:r w:rsidRPr="009C37AF">
        <w:rPr>
          <w:rFonts w:ascii="Arial" w:hAnsi="Arial" w:cs="Arial"/>
          <w:sz w:val="24"/>
        </w:rPr>
        <w:t>zasadach uznawania kwalifikacji zawodowych nabytych w państwach członkowskich Unii Europejskiej (art. 34 ust. 2b regulaminu Sejmu)?</w:t>
      </w:r>
    </w:p>
    <w:p w14:paraId="44D1CD78" w14:textId="77777777" w:rsidR="009E1023" w:rsidRPr="001F52F0" w:rsidRDefault="009E1023" w:rsidP="009E1023">
      <w:pPr>
        <w:pStyle w:val="Akapitzlist"/>
        <w:numPr>
          <w:ilvl w:val="0"/>
          <w:numId w:val="2"/>
        </w:numPr>
        <w:ind w:left="714" w:hanging="357"/>
        <w:jc w:val="both"/>
        <w:rPr>
          <w:rFonts w:ascii="Arial" w:hAnsi="Arial" w:cs="Arial"/>
          <w:b/>
          <w:bCs/>
          <w:sz w:val="24"/>
          <w:u w:val="single"/>
        </w:rPr>
      </w:pPr>
      <w:r w:rsidRPr="001F52F0">
        <w:rPr>
          <w:rFonts w:ascii="Arial" w:hAnsi="Arial" w:cs="Arial"/>
          <w:b/>
          <w:bCs/>
          <w:sz w:val="24"/>
          <w:u w:val="single"/>
        </w:rPr>
        <w:t xml:space="preserve">Nie </w:t>
      </w:r>
    </w:p>
    <w:p w14:paraId="3FC44CC9" w14:textId="77777777" w:rsidR="009E1023" w:rsidRPr="009C37AF" w:rsidRDefault="009E1023" w:rsidP="009E1023">
      <w:pPr>
        <w:pStyle w:val="Akapitzlist"/>
        <w:numPr>
          <w:ilvl w:val="0"/>
          <w:numId w:val="2"/>
        </w:numPr>
        <w:ind w:left="714" w:hanging="357"/>
        <w:rPr>
          <w:rFonts w:ascii="Arial" w:hAnsi="Arial" w:cs="Arial"/>
          <w:sz w:val="24"/>
        </w:rPr>
      </w:pPr>
      <w:r>
        <w:rPr>
          <w:rFonts w:ascii="Arial" w:hAnsi="Arial" w:cs="Arial"/>
          <w:sz w:val="24"/>
        </w:rPr>
        <w:t>Tak</w:t>
      </w:r>
    </w:p>
    <w:tbl>
      <w:tblPr>
        <w:tblStyle w:val="Tabela-Siatka"/>
        <w:tblW w:w="0" w:type="auto"/>
        <w:tblLook w:val="04A0" w:firstRow="1" w:lastRow="0" w:firstColumn="1" w:lastColumn="0" w:noHBand="0" w:noVBand="1"/>
      </w:tblPr>
      <w:tblGrid>
        <w:gridCol w:w="9060"/>
      </w:tblGrid>
      <w:tr w:rsidR="009E1023" w14:paraId="059B74AF" w14:textId="77777777" w:rsidTr="008B793E">
        <w:tc>
          <w:tcPr>
            <w:tcW w:w="9062" w:type="dxa"/>
          </w:tcPr>
          <w:p w14:paraId="68C28CD7" w14:textId="77777777" w:rsidR="009E1023" w:rsidRPr="00726508" w:rsidRDefault="009E1023" w:rsidP="008B793E">
            <w:pPr>
              <w:jc w:val="both"/>
              <w:rPr>
                <w:rFonts w:ascii="Arial" w:hAnsi="Arial" w:cs="Arial"/>
                <w:color w:val="7F7F7F" w:themeColor="text1" w:themeTint="80"/>
                <w:sz w:val="20"/>
                <w:szCs w:val="20"/>
              </w:rPr>
            </w:pPr>
            <w:r w:rsidRPr="00726508">
              <w:rPr>
                <w:rFonts w:ascii="Arial" w:hAnsi="Arial" w:cs="Arial"/>
                <w:color w:val="7F7F7F" w:themeColor="text1" w:themeTint="80"/>
                <w:sz w:val="20"/>
                <w:szCs w:val="20"/>
              </w:rPr>
              <w:t>Zgodnie z art. 34 ust. 2b regulaminu Sejmu uzasadnienie projektu ustawy zawierającej przepisy regulacyjne lub przepisy określające wymogi dotyczące świadczenia usług transgranicznych w</w:t>
            </w:r>
            <w:r>
              <w:rPr>
                <w:rFonts w:ascii="Arial" w:hAnsi="Arial" w:cs="Arial"/>
                <w:color w:val="7F7F7F" w:themeColor="text1" w:themeTint="80"/>
                <w:sz w:val="20"/>
                <w:szCs w:val="20"/>
              </w:rPr>
              <w:t> </w:t>
            </w:r>
            <w:r w:rsidRPr="00726508">
              <w:rPr>
                <w:rFonts w:ascii="Arial" w:hAnsi="Arial" w:cs="Arial"/>
                <w:color w:val="7F7F7F" w:themeColor="text1" w:themeTint="80"/>
                <w:sz w:val="20"/>
                <w:szCs w:val="20"/>
              </w:rPr>
              <w:t>rozumieniu ustawy z dnia 22 grudnia 2015 r. o zasadach uznawania kwalifikacji zawodowych nabytych w państwach członkowskich Unii Europejskiej (Dz. U. z 202</w:t>
            </w:r>
            <w:r>
              <w:rPr>
                <w:rFonts w:ascii="Arial" w:hAnsi="Arial" w:cs="Arial"/>
                <w:color w:val="7F7F7F" w:themeColor="text1" w:themeTint="80"/>
                <w:sz w:val="20"/>
                <w:szCs w:val="20"/>
              </w:rPr>
              <w:t>3</w:t>
            </w:r>
            <w:r w:rsidRPr="00726508">
              <w:rPr>
                <w:rFonts w:ascii="Arial" w:hAnsi="Arial" w:cs="Arial"/>
                <w:color w:val="7F7F7F" w:themeColor="text1" w:themeTint="80"/>
                <w:sz w:val="20"/>
                <w:szCs w:val="20"/>
              </w:rPr>
              <w:t xml:space="preserve"> r. poz. </w:t>
            </w:r>
            <w:r>
              <w:rPr>
                <w:rFonts w:ascii="Arial" w:hAnsi="Arial" w:cs="Arial"/>
                <w:color w:val="7F7F7F" w:themeColor="text1" w:themeTint="80"/>
                <w:sz w:val="20"/>
                <w:szCs w:val="20"/>
              </w:rPr>
              <w:t>334</w:t>
            </w:r>
            <w:r w:rsidRPr="00726508">
              <w:rPr>
                <w:rFonts w:ascii="Arial" w:hAnsi="Arial" w:cs="Arial"/>
                <w:color w:val="7F7F7F" w:themeColor="text1" w:themeTint="80"/>
                <w:sz w:val="20"/>
                <w:szCs w:val="20"/>
              </w:rPr>
              <w:t xml:space="preserve">), powinno odpowiadać wymogom określonym w art. 50f ust. 1 tej ustawy. Przywołany przepis ustawy stanowi, iż powody uznania projektowanych przepisów regulacyjnych lub projektowanych wymogów </w:t>
            </w:r>
            <w:r w:rsidRPr="00726508">
              <w:rPr>
                <w:rFonts w:ascii="Arial" w:hAnsi="Arial" w:cs="Arial"/>
                <w:color w:val="7F7F7F" w:themeColor="text1" w:themeTint="80"/>
                <w:sz w:val="20"/>
                <w:szCs w:val="20"/>
              </w:rPr>
              <w:lastRenderedPageBreak/>
              <w:t>dotyczących świadczenia usług transgranicznych za zgodne z zasadami proporcjonalności, uzasadnionego i niedyskryminującego charakteru przedstawia się w sposób szczegółowy, umożliwiający weryfikację zgodności tych przepisów lub wymogów z wymienionymi zasadami, w</w:t>
            </w:r>
            <w:r>
              <w:rPr>
                <w:rFonts w:ascii="Arial" w:hAnsi="Arial" w:cs="Arial"/>
                <w:color w:val="7F7F7F" w:themeColor="text1" w:themeTint="80"/>
                <w:sz w:val="20"/>
                <w:szCs w:val="20"/>
              </w:rPr>
              <w:t> </w:t>
            </w:r>
            <w:r w:rsidRPr="00726508">
              <w:rPr>
                <w:rFonts w:ascii="Arial" w:hAnsi="Arial" w:cs="Arial"/>
                <w:color w:val="7F7F7F" w:themeColor="text1" w:themeTint="80"/>
                <w:sz w:val="20"/>
                <w:szCs w:val="20"/>
              </w:rPr>
              <w:t>uzasadnieniu projektu aktu prawnego, w tym aktu normatywnego, zawierającego te przepisy lub wymogi albo w załączniku do oceny skutków regulacji, stanowiącej odrębną część uzasadnienia projektu aktu normatywnego. Zgodność z zasadą proporcjonalności i zasadą uzasadnionego charakteru potwierdzają w szczególności wzięte pod uwagę dane jakościowe, a</w:t>
            </w:r>
            <w:r>
              <w:rPr>
                <w:rFonts w:ascii="Arial" w:hAnsi="Arial" w:cs="Arial"/>
                <w:color w:val="7F7F7F" w:themeColor="text1" w:themeTint="80"/>
                <w:sz w:val="20"/>
                <w:szCs w:val="20"/>
              </w:rPr>
              <w:t> </w:t>
            </w:r>
            <w:r w:rsidRPr="00726508">
              <w:rPr>
                <w:rFonts w:ascii="Arial" w:hAnsi="Arial" w:cs="Arial"/>
                <w:color w:val="7F7F7F" w:themeColor="text1" w:themeTint="80"/>
                <w:sz w:val="20"/>
                <w:szCs w:val="20"/>
              </w:rPr>
              <w:t>w</w:t>
            </w:r>
            <w:r>
              <w:rPr>
                <w:rFonts w:ascii="Arial" w:hAnsi="Arial" w:cs="Arial"/>
                <w:color w:val="7F7F7F" w:themeColor="text1" w:themeTint="80"/>
                <w:sz w:val="20"/>
                <w:szCs w:val="20"/>
              </w:rPr>
              <w:t> </w:t>
            </w:r>
            <w:r w:rsidRPr="00726508">
              <w:rPr>
                <w:rFonts w:ascii="Arial" w:hAnsi="Arial" w:cs="Arial"/>
                <w:color w:val="7F7F7F" w:themeColor="text1" w:themeTint="80"/>
                <w:sz w:val="20"/>
                <w:szCs w:val="20"/>
              </w:rPr>
              <w:t>miarę możliwości także dane ilościowe.</w:t>
            </w:r>
          </w:p>
          <w:p w14:paraId="0AA1FB6F" w14:textId="77777777" w:rsidR="009E1023" w:rsidRPr="00726508" w:rsidRDefault="009E1023" w:rsidP="008B793E">
            <w:pPr>
              <w:jc w:val="both"/>
              <w:rPr>
                <w:rFonts w:ascii="Arial" w:hAnsi="Arial" w:cs="Arial"/>
                <w:color w:val="7F7F7F" w:themeColor="text1" w:themeTint="80"/>
                <w:sz w:val="20"/>
                <w:szCs w:val="20"/>
              </w:rPr>
            </w:pPr>
          </w:p>
          <w:p w14:paraId="03379750" w14:textId="77777777" w:rsidR="009E1023" w:rsidRPr="00726508" w:rsidRDefault="009E1023" w:rsidP="008B793E">
            <w:pPr>
              <w:jc w:val="both"/>
              <w:rPr>
                <w:rFonts w:ascii="Arial" w:hAnsi="Arial" w:cs="Arial"/>
                <w:color w:val="7F7F7F" w:themeColor="text1" w:themeTint="80"/>
                <w:sz w:val="20"/>
                <w:szCs w:val="20"/>
              </w:rPr>
            </w:pPr>
            <w:r w:rsidRPr="00726508">
              <w:rPr>
                <w:rFonts w:ascii="Arial" w:hAnsi="Arial" w:cs="Arial"/>
                <w:color w:val="7F7F7F" w:themeColor="text1" w:themeTint="80"/>
                <w:sz w:val="20"/>
                <w:szCs w:val="20"/>
              </w:rPr>
              <w:t>Opis ww. zasad, a także kryteri</w:t>
            </w:r>
            <w:r>
              <w:rPr>
                <w:rFonts w:ascii="Arial" w:hAnsi="Arial" w:cs="Arial"/>
                <w:color w:val="7F7F7F" w:themeColor="text1" w:themeTint="80"/>
                <w:sz w:val="20"/>
                <w:szCs w:val="20"/>
              </w:rPr>
              <w:t>ów</w:t>
            </w:r>
            <w:r w:rsidRPr="00726508">
              <w:rPr>
                <w:rFonts w:ascii="Arial" w:hAnsi="Arial" w:cs="Arial"/>
                <w:color w:val="7F7F7F" w:themeColor="text1" w:themeTint="80"/>
                <w:sz w:val="20"/>
                <w:szCs w:val="20"/>
              </w:rPr>
              <w:t xml:space="preserve"> oceny ich spełnienia przez projektowane przepisy, zawarto w</w:t>
            </w:r>
            <w:r>
              <w:rPr>
                <w:rFonts w:ascii="Arial" w:hAnsi="Arial" w:cs="Arial"/>
                <w:color w:val="7F7F7F" w:themeColor="text1" w:themeTint="80"/>
                <w:sz w:val="20"/>
                <w:szCs w:val="20"/>
              </w:rPr>
              <w:t> </w:t>
            </w:r>
            <w:r w:rsidRPr="00726508">
              <w:rPr>
                <w:rFonts w:ascii="Arial" w:hAnsi="Arial" w:cs="Arial"/>
                <w:color w:val="7F7F7F" w:themeColor="text1" w:themeTint="80"/>
                <w:sz w:val="20"/>
                <w:szCs w:val="20"/>
              </w:rPr>
              <w:t>następujących przepisach ww. ustawy: art. 50b (zasada proporcjonalności), art. 50c (zasada uzasadnionego charakteru), art. 50d (zasada niedyskryminującego charakteru).</w:t>
            </w:r>
          </w:p>
          <w:p w14:paraId="06B47E34" w14:textId="77777777" w:rsidR="009E1023" w:rsidRPr="00726508" w:rsidRDefault="009E1023" w:rsidP="008B793E">
            <w:pPr>
              <w:jc w:val="both"/>
              <w:rPr>
                <w:rFonts w:ascii="Arial" w:hAnsi="Arial" w:cs="Arial"/>
                <w:color w:val="7F7F7F" w:themeColor="text1" w:themeTint="80"/>
                <w:sz w:val="20"/>
                <w:szCs w:val="20"/>
              </w:rPr>
            </w:pPr>
          </w:p>
          <w:p w14:paraId="555A55D3" w14:textId="77777777" w:rsidR="009E1023" w:rsidRDefault="009E1023" w:rsidP="008B793E">
            <w:pPr>
              <w:jc w:val="both"/>
              <w:rPr>
                <w:rFonts w:ascii="Arial" w:hAnsi="Arial" w:cs="Arial"/>
                <w:sz w:val="24"/>
              </w:rPr>
            </w:pPr>
            <w:r w:rsidRPr="00726508">
              <w:rPr>
                <w:rFonts w:ascii="Arial" w:hAnsi="Arial" w:cs="Arial"/>
                <w:color w:val="7F7F7F" w:themeColor="text1" w:themeTint="80"/>
                <w:sz w:val="20"/>
                <w:szCs w:val="20"/>
              </w:rPr>
              <w:t>Jeśli projekt zawiera przepisy regulacyjne lub przepisy określające wymogi dotyczące świadczenia usług transgranicznych w rozumieniu ww. ustawy, proszę szczegółowo (w tym podając wzięte pod uwagę dane jakościowe, a w miarę możliwości także dane ilościowe) przedstawić uzasadnienie uznania projektowanych przepisów za zgodne z zasadami proporcjonalności, uzasadnionego i</w:t>
            </w:r>
            <w:r>
              <w:rPr>
                <w:rFonts w:ascii="Arial" w:hAnsi="Arial" w:cs="Arial"/>
                <w:color w:val="7F7F7F" w:themeColor="text1" w:themeTint="80"/>
                <w:sz w:val="20"/>
                <w:szCs w:val="20"/>
              </w:rPr>
              <w:t> </w:t>
            </w:r>
            <w:r w:rsidRPr="00726508">
              <w:rPr>
                <w:rFonts w:ascii="Arial" w:hAnsi="Arial" w:cs="Arial"/>
                <w:color w:val="7F7F7F" w:themeColor="text1" w:themeTint="80"/>
                <w:sz w:val="20"/>
                <w:szCs w:val="20"/>
              </w:rPr>
              <w:t>niedyskryminującego charakteru.</w:t>
            </w:r>
          </w:p>
        </w:tc>
      </w:tr>
    </w:tbl>
    <w:p w14:paraId="37D81D7D" w14:textId="77777777" w:rsidR="009E1023" w:rsidRPr="009C37AF" w:rsidRDefault="009E1023" w:rsidP="009E1023">
      <w:pPr>
        <w:rPr>
          <w:rFonts w:ascii="Arial" w:hAnsi="Arial" w:cs="Arial"/>
          <w:sz w:val="24"/>
        </w:rPr>
      </w:pPr>
    </w:p>
    <w:p w14:paraId="78F01BEC" w14:textId="77777777" w:rsidR="009E1023" w:rsidRPr="009C37AF" w:rsidRDefault="009E1023" w:rsidP="009E1023">
      <w:pPr>
        <w:spacing w:after="0" w:line="240" w:lineRule="auto"/>
        <w:jc w:val="center"/>
        <w:rPr>
          <w:rFonts w:ascii="Arial" w:hAnsi="Arial" w:cs="Arial"/>
          <w:sz w:val="24"/>
        </w:rPr>
      </w:pPr>
    </w:p>
    <w:p w14:paraId="672CD814" w14:textId="77777777" w:rsidR="008A210F" w:rsidRPr="009E1023" w:rsidRDefault="008A210F" w:rsidP="009E1023"/>
    <w:sectPr w:rsidR="008A210F" w:rsidRPr="009E1023" w:rsidSect="009E1023">
      <w:headerReference w:type="first" r:id="rId7"/>
      <w:pgSz w:w="11906" w:h="16838"/>
      <w:pgMar w:top="851" w:right="1418" w:bottom="851" w:left="1418" w:header="567"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BEF62" w14:textId="77777777" w:rsidR="00F50A6E" w:rsidRDefault="00F50A6E" w:rsidP="009E1023">
      <w:pPr>
        <w:spacing w:after="0" w:line="240" w:lineRule="auto"/>
      </w:pPr>
      <w:r>
        <w:separator/>
      </w:r>
    </w:p>
  </w:endnote>
  <w:endnote w:type="continuationSeparator" w:id="0">
    <w:p w14:paraId="72038D2A" w14:textId="77777777" w:rsidR="00F50A6E" w:rsidRDefault="00F50A6E" w:rsidP="009E1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355FA" w14:textId="77777777" w:rsidR="00F50A6E" w:rsidRDefault="00F50A6E" w:rsidP="009E1023">
      <w:pPr>
        <w:spacing w:after="0" w:line="240" w:lineRule="auto"/>
      </w:pPr>
      <w:r>
        <w:separator/>
      </w:r>
    </w:p>
  </w:footnote>
  <w:footnote w:type="continuationSeparator" w:id="0">
    <w:p w14:paraId="798175BE" w14:textId="77777777" w:rsidR="00F50A6E" w:rsidRDefault="00F50A6E" w:rsidP="009E1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8C668" w14:textId="6B8CE1A0" w:rsidR="009E1023" w:rsidRPr="009E1023" w:rsidRDefault="009E1023" w:rsidP="009E1023">
    <w:pPr>
      <w:pStyle w:val="Nagwek"/>
    </w:pPr>
    <w:r w:rsidRPr="009E102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832EB2"/>
    <w:multiLevelType w:val="hybridMultilevel"/>
    <w:tmpl w:val="1E20F10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6EC96C9E"/>
    <w:multiLevelType w:val="hybridMultilevel"/>
    <w:tmpl w:val="64129D4C"/>
    <w:lvl w:ilvl="0" w:tplc="06647B7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7D44746E"/>
    <w:multiLevelType w:val="hybridMultilevel"/>
    <w:tmpl w:val="0E3A31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73487502">
    <w:abstractNumId w:val="2"/>
  </w:num>
  <w:num w:numId="2" w16cid:durableId="1496339664">
    <w:abstractNumId w:val="0"/>
  </w:num>
  <w:num w:numId="3" w16cid:durableId="426854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023"/>
    <w:rsid w:val="005B21CA"/>
    <w:rsid w:val="008A210F"/>
    <w:rsid w:val="009930C3"/>
    <w:rsid w:val="009E1023"/>
    <w:rsid w:val="00F50A6E"/>
    <w:rsid w:val="00FF62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68F45"/>
  <w15:chartTrackingRefBased/>
  <w15:docId w15:val="{1DAADE63-4287-47A1-8DA4-1A4831AB8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E1023"/>
  </w:style>
  <w:style w:type="paragraph" w:styleId="Nagwek1">
    <w:name w:val="heading 1"/>
    <w:basedOn w:val="Normalny"/>
    <w:next w:val="Normalny"/>
    <w:link w:val="Nagwek1Znak"/>
    <w:uiPriority w:val="9"/>
    <w:qFormat/>
    <w:rsid w:val="009E10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E10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E102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E102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E102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E102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E102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E102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E102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E102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E102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E102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E102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E102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E102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E102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E102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E1023"/>
    <w:rPr>
      <w:rFonts w:eastAsiaTheme="majorEastAsia" w:cstheme="majorBidi"/>
      <w:color w:val="272727" w:themeColor="text1" w:themeTint="D8"/>
    </w:rPr>
  </w:style>
  <w:style w:type="paragraph" w:styleId="Tytu">
    <w:name w:val="Title"/>
    <w:basedOn w:val="Normalny"/>
    <w:next w:val="Normalny"/>
    <w:link w:val="TytuZnak"/>
    <w:uiPriority w:val="10"/>
    <w:qFormat/>
    <w:rsid w:val="009E10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E102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E102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E102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E1023"/>
    <w:pPr>
      <w:spacing w:before="160"/>
      <w:jc w:val="center"/>
    </w:pPr>
    <w:rPr>
      <w:i/>
      <w:iCs/>
      <w:color w:val="404040" w:themeColor="text1" w:themeTint="BF"/>
    </w:rPr>
  </w:style>
  <w:style w:type="character" w:customStyle="1" w:styleId="CytatZnak">
    <w:name w:val="Cytat Znak"/>
    <w:basedOn w:val="Domylnaczcionkaakapitu"/>
    <w:link w:val="Cytat"/>
    <w:uiPriority w:val="29"/>
    <w:rsid w:val="009E1023"/>
    <w:rPr>
      <w:i/>
      <w:iCs/>
      <w:color w:val="404040" w:themeColor="text1" w:themeTint="BF"/>
    </w:rPr>
  </w:style>
  <w:style w:type="paragraph" w:styleId="Akapitzlist">
    <w:name w:val="List Paragraph"/>
    <w:basedOn w:val="Normalny"/>
    <w:uiPriority w:val="34"/>
    <w:qFormat/>
    <w:rsid w:val="009E1023"/>
    <w:pPr>
      <w:ind w:left="720"/>
      <w:contextualSpacing/>
    </w:pPr>
  </w:style>
  <w:style w:type="character" w:styleId="Wyrnienieintensywne">
    <w:name w:val="Intense Emphasis"/>
    <w:basedOn w:val="Domylnaczcionkaakapitu"/>
    <w:uiPriority w:val="21"/>
    <w:qFormat/>
    <w:rsid w:val="009E1023"/>
    <w:rPr>
      <w:i/>
      <w:iCs/>
      <w:color w:val="0F4761" w:themeColor="accent1" w:themeShade="BF"/>
    </w:rPr>
  </w:style>
  <w:style w:type="paragraph" w:styleId="Cytatintensywny">
    <w:name w:val="Intense Quote"/>
    <w:basedOn w:val="Normalny"/>
    <w:next w:val="Normalny"/>
    <w:link w:val="CytatintensywnyZnak"/>
    <w:uiPriority w:val="30"/>
    <w:qFormat/>
    <w:rsid w:val="009E10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E1023"/>
    <w:rPr>
      <w:i/>
      <w:iCs/>
      <w:color w:val="0F4761" w:themeColor="accent1" w:themeShade="BF"/>
    </w:rPr>
  </w:style>
  <w:style w:type="character" w:styleId="Odwoanieintensywne">
    <w:name w:val="Intense Reference"/>
    <w:basedOn w:val="Domylnaczcionkaakapitu"/>
    <w:uiPriority w:val="32"/>
    <w:qFormat/>
    <w:rsid w:val="009E1023"/>
    <w:rPr>
      <w:b/>
      <w:bCs/>
      <w:smallCaps/>
      <w:color w:val="0F4761" w:themeColor="accent1" w:themeShade="BF"/>
      <w:spacing w:val="5"/>
    </w:rPr>
  </w:style>
  <w:style w:type="table" w:styleId="Tabela-Siatka">
    <w:name w:val="Table Grid"/>
    <w:basedOn w:val="Standardowy"/>
    <w:uiPriority w:val="39"/>
    <w:rsid w:val="009E1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9E10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1023"/>
  </w:style>
  <w:style w:type="paragraph" w:customStyle="1" w:styleId="NIEARTTEKSTtekstnieartykuowanynppodstprawnarozplubpreambua">
    <w:name w:val="NIEART_TEKST – tekst nieartykułowany (np. podst. prawna rozp. lub preambuła)"/>
    <w:basedOn w:val="Normalny"/>
    <w:next w:val="Normalny"/>
    <w:uiPriority w:val="7"/>
    <w:qFormat/>
    <w:rsid w:val="009E1023"/>
    <w:pPr>
      <w:suppressAutoHyphens/>
      <w:autoSpaceDE w:val="0"/>
      <w:autoSpaceDN w:val="0"/>
      <w:adjustRightInd w:val="0"/>
      <w:spacing w:before="120" w:after="0" w:line="360" w:lineRule="auto"/>
      <w:ind w:firstLine="510"/>
      <w:jc w:val="both"/>
    </w:pPr>
    <w:rPr>
      <w:rFonts w:ascii="Times" w:eastAsiaTheme="minorEastAsia" w:hAnsi="Times" w:cs="Arial"/>
      <w:bCs/>
      <w:kern w:val="0"/>
      <w:sz w:val="24"/>
      <w:szCs w:val="20"/>
      <w:lang w:eastAsia="pl-PL"/>
      <w14:ligatures w14:val="none"/>
    </w:rPr>
  </w:style>
  <w:style w:type="paragraph" w:customStyle="1" w:styleId="ARTartustawynprozporzdzenia">
    <w:name w:val="ART(§) – art. ustawy (§ np. rozporządzenia)"/>
    <w:uiPriority w:val="11"/>
    <w:qFormat/>
    <w:rsid w:val="009E1023"/>
    <w:pPr>
      <w:suppressAutoHyphens/>
      <w:autoSpaceDE w:val="0"/>
      <w:autoSpaceDN w:val="0"/>
      <w:adjustRightInd w:val="0"/>
      <w:spacing w:before="120" w:after="0" w:line="360" w:lineRule="auto"/>
      <w:ind w:firstLine="510"/>
      <w:jc w:val="both"/>
    </w:pPr>
    <w:rPr>
      <w:rFonts w:ascii="Times" w:eastAsiaTheme="minorEastAsia" w:hAnsi="Times" w:cs="Arial"/>
      <w:kern w:val="0"/>
      <w:sz w:val="24"/>
      <w:szCs w:val="20"/>
      <w:lang w:eastAsia="pl-PL"/>
      <w14:ligatures w14:val="none"/>
    </w:rPr>
  </w:style>
  <w:style w:type="paragraph" w:styleId="Bezodstpw">
    <w:name w:val="No Spacing"/>
    <w:uiPriority w:val="1"/>
    <w:qFormat/>
    <w:rsid w:val="009E1023"/>
    <w:pPr>
      <w:spacing w:after="0" w:line="240" w:lineRule="auto"/>
    </w:pPr>
  </w:style>
  <w:style w:type="paragraph" w:styleId="Stopka">
    <w:name w:val="footer"/>
    <w:basedOn w:val="Normalny"/>
    <w:link w:val="StopkaZnak"/>
    <w:uiPriority w:val="99"/>
    <w:unhideWhenUsed/>
    <w:rsid w:val="009E10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1023"/>
  </w:style>
  <w:style w:type="paragraph" w:customStyle="1" w:styleId="ZARTzmartartykuempunktem">
    <w:name w:val="Z/ART(§) – zm. art. (§) artykułem (punktem)"/>
    <w:basedOn w:val="ARTartustawynprozporzdzenia"/>
    <w:uiPriority w:val="30"/>
    <w:qFormat/>
    <w:rsid w:val="009E1023"/>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9E1023"/>
    <w:pPr>
      <w:keepNext/>
      <w:suppressAutoHyphens/>
      <w:spacing w:before="120" w:after="120" w:line="360" w:lineRule="auto"/>
      <w:jc w:val="center"/>
    </w:pPr>
    <w:rPr>
      <w:rFonts w:ascii="Times" w:eastAsiaTheme="minorEastAsia" w:hAnsi="Times" w:cs="Arial"/>
      <w:bCs/>
      <w:kern w:val="0"/>
      <w:sz w:val="24"/>
      <w:szCs w:val="24"/>
      <w:lang w:eastAsia="pl-PL"/>
      <w14:ligatures w14:val="none"/>
    </w:rPr>
  </w:style>
  <w:style w:type="paragraph" w:customStyle="1" w:styleId="TYTUAKTUprzedmiotregulacjiustawylubrozporzdzenia">
    <w:name w:val="TYTUŁ_AKTU – przedmiot regulacji ustawy lub rozporządzenia"/>
    <w:next w:val="ARTartustawynprozporzdzenia"/>
    <w:uiPriority w:val="6"/>
    <w:qFormat/>
    <w:rsid w:val="009E1023"/>
    <w:pPr>
      <w:keepNext/>
      <w:suppressAutoHyphens/>
      <w:spacing w:before="120" w:after="360" w:line="360" w:lineRule="auto"/>
      <w:jc w:val="center"/>
    </w:pPr>
    <w:rPr>
      <w:rFonts w:ascii="Times" w:eastAsiaTheme="minorEastAsia" w:hAnsi="Times" w:cs="Arial"/>
      <w:b/>
      <w:bCs/>
      <w:kern w:val="0"/>
      <w:sz w:val="24"/>
      <w:szCs w:val="24"/>
      <w:lang w:eastAsia="pl-PL"/>
      <w14:ligatures w14:val="none"/>
    </w:rPr>
  </w:style>
  <w:style w:type="paragraph" w:customStyle="1" w:styleId="OZNRODZAKTUtznustawalubrozporzdzenieiorganwydajcy">
    <w:name w:val="OZN_RODZ_AKTU – tzn. ustawa lub rozporządzenie i organ wydający"/>
    <w:next w:val="DATAAKTUdatauchwalenialubwydaniaaktu"/>
    <w:uiPriority w:val="5"/>
    <w:qFormat/>
    <w:rsid w:val="009E1023"/>
    <w:pPr>
      <w:keepNext/>
      <w:suppressAutoHyphens/>
      <w:spacing w:after="120" w:line="360" w:lineRule="auto"/>
      <w:jc w:val="center"/>
    </w:pPr>
    <w:rPr>
      <w:rFonts w:ascii="Times" w:eastAsia="Times New Roman" w:hAnsi="Times" w:cs="Times New Roman"/>
      <w:b/>
      <w:bCs/>
      <w:caps/>
      <w:spacing w:val="54"/>
      <w:kern w:val="24"/>
      <w:sz w:val="24"/>
      <w:szCs w:val="24"/>
      <w:lang w:eastAsia="pl-PL"/>
      <w14:ligatures w14:val="none"/>
    </w:rPr>
  </w:style>
  <w:style w:type="paragraph" w:customStyle="1" w:styleId="USTustnpkodeksu">
    <w:name w:val="UST(§) – ust. (§ np. kodeksu)"/>
    <w:basedOn w:val="ARTartustawynprozporzdzenia"/>
    <w:uiPriority w:val="12"/>
    <w:qFormat/>
    <w:rsid w:val="009E1023"/>
    <w:pPr>
      <w:spacing w:before="0"/>
    </w:pPr>
    <w:rPr>
      <w:bCs/>
    </w:rPr>
  </w:style>
  <w:style w:type="paragraph" w:customStyle="1" w:styleId="PKTpunkt">
    <w:name w:val="PKT – punkt"/>
    <w:uiPriority w:val="13"/>
    <w:qFormat/>
    <w:rsid w:val="009E1023"/>
    <w:pPr>
      <w:spacing w:after="0" w:line="360" w:lineRule="auto"/>
      <w:ind w:left="510" w:hanging="510"/>
      <w:jc w:val="both"/>
    </w:pPr>
    <w:rPr>
      <w:rFonts w:ascii="Times" w:eastAsiaTheme="minorEastAsia" w:hAnsi="Times" w:cs="Arial"/>
      <w:bCs/>
      <w:kern w:val="0"/>
      <w:sz w:val="24"/>
      <w:szCs w:val="20"/>
      <w:lang w:eastAsia="pl-PL"/>
      <w14:ligatures w14:val="none"/>
    </w:rPr>
  </w:style>
  <w:style w:type="paragraph" w:customStyle="1" w:styleId="TYTDZOZNoznaczenietytuulubdziau">
    <w:name w:val="TYT(DZ)_OZN – oznaczenie tytułu lub działu"/>
    <w:next w:val="Normalny"/>
    <w:uiPriority w:val="9"/>
    <w:qFormat/>
    <w:rsid w:val="009E1023"/>
    <w:pPr>
      <w:keepNext/>
      <w:spacing w:before="120" w:after="0" w:line="360" w:lineRule="auto"/>
      <w:jc w:val="center"/>
    </w:pPr>
    <w:rPr>
      <w:rFonts w:ascii="Times" w:eastAsiaTheme="minorEastAsia" w:hAnsi="Times" w:cs="Arial"/>
      <w:bCs/>
      <w:caps/>
      <w:kern w:val="24"/>
      <w:sz w:val="24"/>
      <w:szCs w:val="24"/>
      <w:lang w:eastAsia="pl-PL"/>
      <w14:ligatures w14:val="none"/>
    </w:rPr>
  </w:style>
  <w:style w:type="paragraph" w:customStyle="1" w:styleId="ZPKTwODNONIKUzmpktwzmienianymodnonikuartykuempunktem">
    <w:name w:val="Z/PKT_w_ODNOŚNIKU – zm. pkt w zmienianym odnośniku artykułem (punktem)"/>
    <w:basedOn w:val="Normalny"/>
    <w:uiPriority w:val="39"/>
    <w:qFormat/>
    <w:rsid w:val="009E1023"/>
    <w:pPr>
      <w:spacing w:after="0" w:line="360" w:lineRule="auto"/>
      <w:ind w:left="1304" w:hanging="397"/>
      <w:jc w:val="both"/>
    </w:pPr>
    <w:rPr>
      <w:rFonts w:ascii="Times New Roman" w:eastAsiaTheme="minorEastAsia" w:hAnsi="Times New Roman" w:cs="Arial"/>
      <w:kern w:val="0"/>
      <w:sz w:val="24"/>
      <w:szCs w:val="20"/>
      <w:lang w:eastAsia="pl-PL"/>
      <w14:ligatures w14:val="none"/>
    </w:rPr>
  </w:style>
  <w:style w:type="paragraph" w:customStyle="1" w:styleId="OZNPROJEKTUwskazaniedatylubwersjiprojektu">
    <w:name w:val="OZN_PROJEKTU – wskazanie daty lub wersji projektu"/>
    <w:next w:val="OZNRODZAKTUtznustawalubrozporzdzenieiorganwydajcy"/>
    <w:uiPriority w:val="5"/>
    <w:qFormat/>
    <w:rsid w:val="009E1023"/>
    <w:pPr>
      <w:spacing w:after="0" w:line="360" w:lineRule="auto"/>
      <w:jc w:val="right"/>
    </w:pPr>
    <w:rPr>
      <w:rFonts w:ascii="Times New Roman" w:eastAsiaTheme="minorEastAsia" w:hAnsi="Times New Roman" w:cs="Arial"/>
      <w:kern w:val="0"/>
      <w:sz w:val="24"/>
      <w:szCs w:val="20"/>
      <w:u w:val="single"/>
      <w:lang w:eastAsia="pl-PL"/>
      <w14:ligatures w14:val="none"/>
    </w:rPr>
  </w:style>
  <w:style w:type="character" w:customStyle="1" w:styleId="Ppogrubienie">
    <w:name w:val="_P_ – pogrubienie"/>
    <w:basedOn w:val="Domylnaczcionkaakapitu"/>
    <w:uiPriority w:val="1"/>
    <w:qFormat/>
    <w:rsid w:val="009E1023"/>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2876</Words>
  <Characters>17257</Characters>
  <Application>Microsoft Office Word</Application>
  <DocSecurity>0</DocSecurity>
  <Lines>143</Lines>
  <Paragraphs>40</Paragraphs>
  <ScaleCrop>false</ScaleCrop>
  <Company>Kancelaria Sejmu</Company>
  <LinksUpToDate>false</LinksUpToDate>
  <CharactersWithSpaces>20093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Pawlak</dc:creator>
  <cp:keywords/>
  <dc:description/>
  <cp:lastModifiedBy>Wojciech Pawlak</cp:lastModifiedBy>
  <cp:revision>1</cp:revision>
  <dcterms:created xsi:type="dcterms:W3CDTF">2026-03-26T09:25:00Z</dcterms:created>
  <dcterms:modified xsi:type="dcterms:W3CDTF">2026-03-26T09:34:00Z</dcterms:modified>
</cp:coreProperties>
</file>